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0D1E" w:rsidRPr="004620EC" w:rsidRDefault="00DC0D1E" w:rsidP="00DC0D1E">
      <w:pPr>
        <w:jc w:val="both"/>
        <w:rPr>
          <w:rFonts w:cstheme="minorHAnsi"/>
        </w:rPr>
      </w:pPr>
      <w:bookmarkStart w:id="0" w:name="_GoBack"/>
      <w:bookmarkEnd w:id="0"/>
    </w:p>
    <w:p w:rsidR="00DC0D1E" w:rsidRPr="004620EC" w:rsidRDefault="00DC0D1E" w:rsidP="00DC0D1E">
      <w:pPr>
        <w:jc w:val="both"/>
        <w:rPr>
          <w:rFonts w:cstheme="minorHAnsi"/>
        </w:rPr>
      </w:pPr>
    </w:p>
    <w:p w:rsidR="00DC0D1E" w:rsidRPr="004620EC" w:rsidRDefault="00DC0D1E" w:rsidP="00DC0D1E">
      <w:pPr>
        <w:jc w:val="both"/>
        <w:rPr>
          <w:rFonts w:cstheme="minorHAnsi"/>
        </w:rPr>
      </w:pPr>
    </w:p>
    <w:p w:rsidR="00DC0D1E" w:rsidRPr="004620EC" w:rsidRDefault="00DC0D1E" w:rsidP="00DC0D1E">
      <w:pPr>
        <w:jc w:val="both"/>
        <w:rPr>
          <w:rFonts w:cstheme="minorHAnsi"/>
        </w:rPr>
      </w:pPr>
    </w:p>
    <w:p w:rsidR="00DC0D1E" w:rsidRPr="009629DA" w:rsidRDefault="00DC0D1E" w:rsidP="00DC0D1E">
      <w:pPr>
        <w:jc w:val="both"/>
        <w:rPr>
          <w:rFonts w:cstheme="minorHAnsi"/>
          <w:sz w:val="56"/>
          <w:szCs w:val="56"/>
        </w:rPr>
      </w:pPr>
    </w:p>
    <w:p w:rsidR="00DC0D1E" w:rsidRPr="009629DA" w:rsidRDefault="00DC0D1E" w:rsidP="00DC0D1E">
      <w:pPr>
        <w:jc w:val="center"/>
        <w:rPr>
          <w:rFonts w:cstheme="minorHAnsi"/>
          <w:sz w:val="56"/>
          <w:szCs w:val="56"/>
        </w:rPr>
      </w:pPr>
    </w:p>
    <w:p w:rsidR="00DC0D1E" w:rsidRPr="009629DA" w:rsidRDefault="00DC0D1E" w:rsidP="00DC0D1E">
      <w:pPr>
        <w:jc w:val="center"/>
        <w:rPr>
          <w:rFonts w:cstheme="minorHAnsi"/>
          <w:b/>
          <w:sz w:val="56"/>
          <w:szCs w:val="56"/>
        </w:rPr>
      </w:pPr>
      <w:r>
        <w:rPr>
          <w:rFonts w:cstheme="minorHAnsi"/>
          <w:b/>
          <w:sz w:val="56"/>
          <w:szCs w:val="56"/>
        </w:rPr>
        <w:t>CVD Risk O</w:t>
      </w:r>
      <w:r w:rsidRPr="009629DA">
        <w:rPr>
          <w:rFonts w:cstheme="minorHAnsi"/>
          <w:b/>
          <w:sz w:val="56"/>
          <w:szCs w:val="56"/>
        </w:rPr>
        <w:t>ptimisation and Lipid</w:t>
      </w:r>
    </w:p>
    <w:p w:rsidR="00DC0D1E" w:rsidRPr="009629DA" w:rsidRDefault="00DC0D1E" w:rsidP="00DC0D1E">
      <w:pPr>
        <w:jc w:val="center"/>
        <w:rPr>
          <w:rFonts w:cstheme="minorHAnsi"/>
          <w:b/>
          <w:sz w:val="56"/>
          <w:szCs w:val="56"/>
        </w:rPr>
      </w:pPr>
      <w:r w:rsidRPr="009629DA">
        <w:rPr>
          <w:rFonts w:cstheme="minorHAnsi"/>
          <w:b/>
          <w:sz w:val="56"/>
          <w:szCs w:val="56"/>
        </w:rPr>
        <w:t>Lowering Therapy Guidelines</w:t>
      </w:r>
    </w:p>
    <w:p w:rsidR="00DC0D1E" w:rsidRPr="004620EC" w:rsidRDefault="00DC0D1E" w:rsidP="00DC0D1E">
      <w:pPr>
        <w:jc w:val="both"/>
        <w:rPr>
          <w:rFonts w:cstheme="minorHAnsi"/>
        </w:rPr>
      </w:pPr>
    </w:p>
    <w:p w:rsidR="00DC0D1E" w:rsidRPr="004620EC" w:rsidRDefault="00DC0D1E" w:rsidP="00DC0D1E">
      <w:pPr>
        <w:jc w:val="both"/>
        <w:rPr>
          <w:rFonts w:cstheme="minorHAnsi"/>
        </w:rPr>
      </w:pPr>
    </w:p>
    <w:p w:rsidR="00DC0D1E" w:rsidRPr="004620EC" w:rsidRDefault="00DC0D1E" w:rsidP="00DC0D1E">
      <w:pPr>
        <w:jc w:val="both"/>
        <w:rPr>
          <w:rFonts w:cstheme="minorHAnsi"/>
        </w:rPr>
      </w:pPr>
    </w:p>
    <w:p w:rsidR="00DC0D1E" w:rsidRPr="004620EC" w:rsidRDefault="00DC0D1E" w:rsidP="00DC0D1E">
      <w:pPr>
        <w:jc w:val="both"/>
        <w:rPr>
          <w:rFonts w:cstheme="minorHAnsi"/>
        </w:rPr>
      </w:pPr>
    </w:p>
    <w:p w:rsidR="00DC0D1E" w:rsidRPr="004620EC" w:rsidRDefault="00DC0D1E" w:rsidP="00DC0D1E">
      <w:pPr>
        <w:jc w:val="both"/>
        <w:rPr>
          <w:rFonts w:cstheme="minorHAnsi"/>
        </w:rPr>
      </w:pPr>
    </w:p>
    <w:p w:rsidR="00DC0D1E" w:rsidRPr="004620EC" w:rsidRDefault="00DC0D1E" w:rsidP="00DC0D1E">
      <w:pPr>
        <w:jc w:val="both"/>
        <w:rPr>
          <w:rFonts w:cstheme="minorHAnsi"/>
        </w:rPr>
      </w:pPr>
    </w:p>
    <w:p w:rsidR="00DC0D1E" w:rsidRPr="004620EC" w:rsidRDefault="00DC0D1E" w:rsidP="00DC0D1E">
      <w:pPr>
        <w:jc w:val="both"/>
        <w:rPr>
          <w:rFonts w:cstheme="minorHAnsi"/>
        </w:rPr>
      </w:pPr>
    </w:p>
    <w:p w:rsidR="00DC0D1E" w:rsidRPr="004620EC" w:rsidRDefault="00DC0D1E" w:rsidP="00DC0D1E">
      <w:pPr>
        <w:jc w:val="both"/>
        <w:rPr>
          <w:rFonts w:cstheme="minorHAnsi"/>
        </w:rPr>
      </w:pPr>
    </w:p>
    <w:p w:rsidR="00DC0D1E" w:rsidRPr="004620EC" w:rsidRDefault="00DC0D1E" w:rsidP="00DC0D1E">
      <w:pPr>
        <w:jc w:val="both"/>
        <w:rPr>
          <w:rFonts w:cstheme="minorHAnsi"/>
        </w:rPr>
      </w:pPr>
    </w:p>
    <w:p w:rsidR="00DC0D1E" w:rsidRPr="004620EC" w:rsidRDefault="00DC0D1E" w:rsidP="00DC0D1E">
      <w:pPr>
        <w:jc w:val="both"/>
        <w:rPr>
          <w:rFonts w:cstheme="minorHAnsi"/>
        </w:rPr>
      </w:pPr>
    </w:p>
    <w:p w:rsidR="00DC0D1E" w:rsidRPr="004620EC" w:rsidRDefault="00DC0D1E" w:rsidP="00DC0D1E">
      <w:pPr>
        <w:jc w:val="both"/>
        <w:rPr>
          <w:rFonts w:cstheme="minorHAnsi"/>
        </w:rPr>
      </w:pPr>
    </w:p>
    <w:p w:rsidR="00DC0D1E" w:rsidRPr="004620EC" w:rsidRDefault="00DC0D1E" w:rsidP="00DC0D1E">
      <w:pPr>
        <w:jc w:val="both"/>
        <w:rPr>
          <w:rFonts w:cstheme="minorHAnsi"/>
          <w:b/>
          <w:sz w:val="32"/>
          <w:szCs w:val="32"/>
        </w:rPr>
      </w:pPr>
    </w:p>
    <w:p w:rsidR="00DC0D1E" w:rsidRPr="004620EC" w:rsidRDefault="00DC0D1E" w:rsidP="00DC0D1E">
      <w:pPr>
        <w:jc w:val="both"/>
        <w:rPr>
          <w:rFonts w:cstheme="minorHAnsi"/>
          <w:b/>
          <w:sz w:val="32"/>
          <w:szCs w:val="32"/>
        </w:rPr>
      </w:pPr>
    </w:p>
    <w:p w:rsidR="00DC0D1E" w:rsidRPr="004620EC" w:rsidRDefault="00DC0D1E" w:rsidP="00DC0D1E">
      <w:pPr>
        <w:jc w:val="both"/>
        <w:rPr>
          <w:rFonts w:cstheme="minorHAnsi"/>
          <w:b/>
          <w:sz w:val="32"/>
          <w:szCs w:val="32"/>
        </w:rPr>
      </w:pPr>
    </w:p>
    <w:p w:rsidR="00DC0D1E" w:rsidRPr="004620EC" w:rsidRDefault="00DC0D1E" w:rsidP="00DC0D1E">
      <w:pPr>
        <w:jc w:val="both"/>
        <w:rPr>
          <w:rFonts w:cstheme="minorHAnsi"/>
          <w:b/>
          <w:sz w:val="32"/>
          <w:szCs w:val="32"/>
        </w:rPr>
      </w:pPr>
    </w:p>
    <w:p w:rsidR="00DC0D1E" w:rsidRPr="00714CA5" w:rsidRDefault="00DC0D1E" w:rsidP="00DC0D1E">
      <w:pPr>
        <w:jc w:val="both"/>
        <w:rPr>
          <w:rFonts w:cstheme="minorHAnsi"/>
          <w:b/>
          <w:sz w:val="40"/>
          <w:szCs w:val="40"/>
        </w:rPr>
      </w:pPr>
      <w:r w:rsidRPr="00714CA5">
        <w:rPr>
          <w:rFonts w:cstheme="minorHAnsi"/>
          <w:b/>
          <w:sz w:val="40"/>
          <w:szCs w:val="40"/>
        </w:rPr>
        <w:lastRenderedPageBreak/>
        <w:t>Index</w:t>
      </w:r>
    </w:p>
    <w:p w:rsidR="00DC0D1E" w:rsidRPr="00714CA5" w:rsidRDefault="00DC0D1E" w:rsidP="00DC0D1E">
      <w:pPr>
        <w:pStyle w:val="ListParagraph"/>
        <w:numPr>
          <w:ilvl w:val="0"/>
          <w:numId w:val="5"/>
        </w:numPr>
        <w:spacing w:line="480" w:lineRule="auto"/>
        <w:jc w:val="both"/>
        <w:rPr>
          <w:rFonts w:cstheme="minorHAnsi"/>
          <w:b/>
          <w:sz w:val="24"/>
          <w:szCs w:val="24"/>
        </w:rPr>
      </w:pPr>
      <w:r w:rsidRPr="00714CA5">
        <w:rPr>
          <w:rFonts w:cstheme="minorHAnsi"/>
          <w:b/>
          <w:sz w:val="24"/>
          <w:szCs w:val="24"/>
        </w:rPr>
        <w:t xml:space="preserve"> CVD risk optimisation tool kit</w:t>
      </w:r>
    </w:p>
    <w:p w:rsidR="00DC0D1E" w:rsidRPr="00714CA5" w:rsidRDefault="00DC0D1E" w:rsidP="00DC0D1E">
      <w:pPr>
        <w:pStyle w:val="ListParagraph"/>
        <w:numPr>
          <w:ilvl w:val="0"/>
          <w:numId w:val="5"/>
        </w:numPr>
        <w:spacing w:line="480" w:lineRule="auto"/>
        <w:jc w:val="both"/>
        <w:rPr>
          <w:rFonts w:cstheme="minorHAnsi"/>
          <w:b/>
          <w:sz w:val="24"/>
          <w:szCs w:val="24"/>
        </w:rPr>
      </w:pPr>
      <w:r w:rsidRPr="00714CA5">
        <w:rPr>
          <w:rFonts w:cstheme="minorHAnsi"/>
          <w:b/>
          <w:sz w:val="24"/>
          <w:szCs w:val="24"/>
        </w:rPr>
        <w:t xml:space="preserve"> Primary prevention of CVD</w:t>
      </w:r>
    </w:p>
    <w:p w:rsidR="00DC0D1E" w:rsidRPr="00714CA5" w:rsidRDefault="00DC0D1E" w:rsidP="00DC0D1E">
      <w:pPr>
        <w:pStyle w:val="ListParagraph"/>
        <w:numPr>
          <w:ilvl w:val="0"/>
          <w:numId w:val="5"/>
        </w:numPr>
        <w:spacing w:line="480" w:lineRule="auto"/>
        <w:jc w:val="both"/>
        <w:rPr>
          <w:rFonts w:cstheme="minorHAnsi"/>
          <w:b/>
          <w:sz w:val="24"/>
          <w:szCs w:val="24"/>
        </w:rPr>
      </w:pPr>
      <w:r w:rsidRPr="00714CA5">
        <w:rPr>
          <w:rFonts w:cstheme="minorHAnsi"/>
          <w:b/>
          <w:sz w:val="24"/>
          <w:szCs w:val="24"/>
        </w:rPr>
        <w:t xml:space="preserve"> Secondary prevention of CVD</w:t>
      </w:r>
    </w:p>
    <w:p w:rsidR="00DC0D1E" w:rsidRPr="00714CA5" w:rsidRDefault="00DC0D1E" w:rsidP="00DC0D1E">
      <w:pPr>
        <w:pStyle w:val="ListParagraph"/>
        <w:numPr>
          <w:ilvl w:val="0"/>
          <w:numId w:val="5"/>
        </w:numPr>
        <w:spacing w:line="480" w:lineRule="auto"/>
        <w:jc w:val="both"/>
        <w:rPr>
          <w:rFonts w:cstheme="minorHAnsi"/>
          <w:b/>
          <w:sz w:val="24"/>
          <w:szCs w:val="24"/>
        </w:rPr>
      </w:pPr>
      <w:r w:rsidRPr="00714CA5">
        <w:rPr>
          <w:rFonts w:cstheme="minorHAnsi"/>
          <w:b/>
          <w:sz w:val="24"/>
          <w:szCs w:val="24"/>
        </w:rPr>
        <w:t xml:space="preserve"> Statin intolerance</w:t>
      </w:r>
    </w:p>
    <w:p w:rsidR="00DC0D1E" w:rsidRPr="00714CA5" w:rsidRDefault="00DC0D1E" w:rsidP="00DC0D1E">
      <w:pPr>
        <w:pStyle w:val="ListParagraph"/>
        <w:numPr>
          <w:ilvl w:val="0"/>
          <w:numId w:val="5"/>
        </w:numPr>
        <w:spacing w:line="480" w:lineRule="auto"/>
        <w:jc w:val="both"/>
        <w:rPr>
          <w:rFonts w:cstheme="minorHAnsi"/>
          <w:b/>
          <w:sz w:val="24"/>
          <w:szCs w:val="24"/>
        </w:rPr>
      </w:pPr>
      <w:r w:rsidRPr="00714CA5">
        <w:rPr>
          <w:rFonts w:cstheme="minorHAnsi"/>
          <w:b/>
          <w:sz w:val="24"/>
          <w:szCs w:val="24"/>
        </w:rPr>
        <w:t xml:space="preserve"> Monitoring on lipid lowering therapy</w:t>
      </w:r>
    </w:p>
    <w:p w:rsidR="00DC0D1E" w:rsidRPr="00714CA5" w:rsidRDefault="00DC0D1E" w:rsidP="00DC0D1E">
      <w:pPr>
        <w:pStyle w:val="ListParagraph"/>
        <w:numPr>
          <w:ilvl w:val="0"/>
          <w:numId w:val="5"/>
        </w:numPr>
        <w:spacing w:line="480" w:lineRule="auto"/>
        <w:jc w:val="both"/>
        <w:rPr>
          <w:rFonts w:cstheme="minorHAnsi"/>
          <w:b/>
          <w:sz w:val="24"/>
          <w:szCs w:val="24"/>
        </w:rPr>
      </w:pPr>
      <w:r w:rsidRPr="00714CA5">
        <w:rPr>
          <w:rFonts w:cstheme="minorHAnsi"/>
          <w:b/>
          <w:sz w:val="24"/>
          <w:szCs w:val="24"/>
        </w:rPr>
        <w:t xml:space="preserve"> CVD lipid lowering therapy treatment targets</w:t>
      </w:r>
    </w:p>
    <w:p w:rsidR="00DC0D1E" w:rsidRPr="00714CA5" w:rsidRDefault="00DC0D1E" w:rsidP="00DC0D1E">
      <w:pPr>
        <w:pStyle w:val="ListParagraph"/>
        <w:numPr>
          <w:ilvl w:val="0"/>
          <w:numId w:val="5"/>
        </w:numPr>
        <w:spacing w:line="480" w:lineRule="auto"/>
        <w:jc w:val="both"/>
        <w:rPr>
          <w:rFonts w:cstheme="minorHAnsi"/>
          <w:b/>
          <w:sz w:val="24"/>
          <w:szCs w:val="24"/>
        </w:rPr>
      </w:pPr>
      <w:r w:rsidRPr="00714CA5">
        <w:rPr>
          <w:rFonts w:cstheme="minorHAnsi"/>
          <w:b/>
          <w:sz w:val="24"/>
          <w:szCs w:val="24"/>
        </w:rPr>
        <w:t xml:space="preserve"> Special considerations with lipid lowering therapy</w:t>
      </w:r>
    </w:p>
    <w:p w:rsidR="00DC0D1E" w:rsidRPr="00714CA5" w:rsidRDefault="00DC0D1E" w:rsidP="00DC0D1E">
      <w:pPr>
        <w:pStyle w:val="ListParagraph"/>
        <w:numPr>
          <w:ilvl w:val="0"/>
          <w:numId w:val="5"/>
        </w:numPr>
        <w:spacing w:line="480" w:lineRule="auto"/>
        <w:jc w:val="both"/>
        <w:rPr>
          <w:rFonts w:cstheme="minorHAnsi"/>
          <w:b/>
          <w:sz w:val="24"/>
          <w:szCs w:val="24"/>
        </w:rPr>
      </w:pPr>
      <w:r w:rsidRPr="00714CA5">
        <w:rPr>
          <w:rFonts w:cstheme="minorHAnsi"/>
          <w:b/>
          <w:sz w:val="24"/>
          <w:szCs w:val="24"/>
        </w:rPr>
        <w:t xml:space="preserve"> Familial Hypercholesterolaemia </w:t>
      </w:r>
    </w:p>
    <w:p w:rsidR="00DC0D1E" w:rsidRPr="00714CA5" w:rsidRDefault="00DC0D1E" w:rsidP="00DC0D1E">
      <w:pPr>
        <w:pStyle w:val="ListParagraph"/>
        <w:numPr>
          <w:ilvl w:val="0"/>
          <w:numId w:val="5"/>
        </w:numPr>
        <w:spacing w:line="480" w:lineRule="auto"/>
        <w:jc w:val="both"/>
        <w:rPr>
          <w:rFonts w:cstheme="minorHAnsi"/>
          <w:b/>
          <w:sz w:val="24"/>
          <w:szCs w:val="24"/>
        </w:rPr>
      </w:pPr>
      <w:r w:rsidRPr="00714CA5">
        <w:rPr>
          <w:rFonts w:cstheme="minorHAnsi"/>
          <w:b/>
          <w:sz w:val="24"/>
          <w:szCs w:val="24"/>
        </w:rPr>
        <w:t xml:space="preserve"> Paediatric Familial Hypercholesterolaemia pathway</w:t>
      </w:r>
    </w:p>
    <w:p w:rsidR="00DC0D1E" w:rsidRPr="00714CA5" w:rsidRDefault="00DC0D1E" w:rsidP="00DC0D1E">
      <w:pPr>
        <w:pStyle w:val="ListParagraph"/>
        <w:numPr>
          <w:ilvl w:val="0"/>
          <w:numId w:val="5"/>
        </w:numPr>
        <w:spacing w:line="480" w:lineRule="auto"/>
        <w:jc w:val="both"/>
        <w:rPr>
          <w:rFonts w:cstheme="minorHAnsi"/>
          <w:b/>
          <w:sz w:val="24"/>
          <w:szCs w:val="24"/>
        </w:rPr>
      </w:pPr>
      <w:r w:rsidRPr="00714CA5">
        <w:rPr>
          <w:rFonts w:cstheme="minorHAnsi"/>
          <w:b/>
          <w:sz w:val="24"/>
          <w:szCs w:val="24"/>
        </w:rPr>
        <w:t xml:space="preserve"> Hypertriglyceridaemia pathway</w:t>
      </w:r>
    </w:p>
    <w:p w:rsidR="00DC0D1E" w:rsidRPr="00714CA5" w:rsidRDefault="00DC0D1E" w:rsidP="00DC0D1E">
      <w:pPr>
        <w:pStyle w:val="ListParagraph"/>
        <w:numPr>
          <w:ilvl w:val="0"/>
          <w:numId w:val="5"/>
        </w:numPr>
        <w:spacing w:line="480" w:lineRule="auto"/>
        <w:jc w:val="both"/>
        <w:rPr>
          <w:rFonts w:cstheme="minorHAnsi"/>
          <w:b/>
          <w:sz w:val="24"/>
          <w:szCs w:val="24"/>
        </w:rPr>
      </w:pPr>
      <w:r w:rsidRPr="00714CA5">
        <w:rPr>
          <w:rFonts w:cstheme="minorHAnsi"/>
          <w:b/>
          <w:sz w:val="24"/>
          <w:szCs w:val="24"/>
        </w:rPr>
        <w:t xml:space="preserve"> Referral criteria to lipid clinic</w:t>
      </w:r>
    </w:p>
    <w:p w:rsidR="00DC0D1E" w:rsidRPr="00714CA5" w:rsidRDefault="00DC0D1E" w:rsidP="00DC0D1E">
      <w:pPr>
        <w:pStyle w:val="ListParagraph"/>
        <w:numPr>
          <w:ilvl w:val="0"/>
          <w:numId w:val="5"/>
        </w:numPr>
        <w:spacing w:line="480" w:lineRule="auto"/>
        <w:jc w:val="both"/>
        <w:rPr>
          <w:rFonts w:cstheme="minorHAnsi"/>
          <w:b/>
          <w:sz w:val="24"/>
          <w:szCs w:val="24"/>
        </w:rPr>
      </w:pPr>
      <w:r w:rsidRPr="00714CA5">
        <w:rPr>
          <w:rFonts w:cstheme="minorHAnsi"/>
          <w:b/>
          <w:sz w:val="24"/>
          <w:szCs w:val="24"/>
        </w:rPr>
        <w:t xml:space="preserve"> Electronic Referral Service</w:t>
      </w:r>
    </w:p>
    <w:p w:rsidR="00DC0D1E" w:rsidRPr="00714CA5" w:rsidRDefault="00DC0D1E" w:rsidP="00DC0D1E">
      <w:pPr>
        <w:pStyle w:val="ListParagraph"/>
        <w:numPr>
          <w:ilvl w:val="0"/>
          <w:numId w:val="5"/>
        </w:numPr>
        <w:spacing w:line="480" w:lineRule="auto"/>
        <w:jc w:val="both"/>
        <w:rPr>
          <w:rFonts w:cstheme="minorHAnsi"/>
          <w:b/>
          <w:sz w:val="24"/>
          <w:szCs w:val="24"/>
        </w:rPr>
      </w:pPr>
      <w:r w:rsidRPr="00714CA5">
        <w:rPr>
          <w:rFonts w:cstheme="minorHAnsi"/>
          <w:b/>
          <w:sz w:val="24"/>
          <w:szCs w:val="24"/>
        </w:rPr>
        <w:t xml:space="preserve"> References</w:t>
      </w:r>
    </w:p>
    <w:p w:rsidR="00DC0D1E" w:rsidRDefault="00DC0D1E" w:rsidP="00DC0D1E">
      <w:pPr>
        <w:spacing w:line="480" w:lineRule="auto"/>
        <w:ind w:left="720"/>
        <w:jc w:val="both"/>
        <w:rPr>
          <w:rFonts w:cstheme="minorHAnsi"/>
          <w:b/>
          <w:sz w:val="28"/>
          <w:szCs w:val="28"/>
        </w:rPr>
      </w:pPr>
      <w:r w:rsidRPr="00714CA5">
        <w:rPr>
          <w:rFonts w:cstheme="minorHAnsi"/>
          <w:b/>
          <w:sz w:val="24"/>
          <w:szCs w:val="24"/>
        </w:rPr>
        <w:t xml:space="preserve">Appendices </w:t>
      </w:r>
    </w:p>
    <w:p w:rsidR="00DC0D1E" w:rsidRPr="00714CA5" w:rsidRDefault="00DC0D1E" w:rsidP="00DC0D1E">
      <w:pPr>
        <w:spacing w:line="360" w:lineRule="auto"/>
        <w:ind w:left="360" w:firstLine="720"/>
        <w:jc w:val="both"/>
        <w:rPr>
          <w:rFonts w:cstheme="minorHAnsi"/>
          <w:b/>
          <w:sz w:val="28"/>
          <w:szCs w:val="28"/>
        </w:rPr>
      </w:pPr>
      <w:r w:rsidRPr="00714CA5">
        <w:rPr>
          <w:rFonts w:cstheme="minorHAnsi"/>
          <w:b/>
          <w:sz w:val="24"/>
          <w:szCs w:val="24"/>
        </w:rPr>
        <w:t>Appendix A…………………………Primary Care Pathway for FH</w:t>
      </w:r>
    </w:p>
    <w:p w:rsidR="00DC0D1E" w:rsidRPr="00714CA5" w:rsidRDefault="00DC0D1E" w:rsidP="00DC0D1E">
      <w:pPr>
        <w:spacing w:line="360" w:lineRule="auto"/>
        <w:ind w:left="360" w:firstLine="720"/>
        <w:jc w:val="both"/>
        <w:rPr>
          <w:rFonts w:cstheme="minorHAnsi"/>
          <w:b/>
          <w:sz w:val="24"/>
          <w:szCs w:val="24"/>
        </w:rPr>
      </w:pPr>
      <w:r w:rsidRPr="00714CA5">
        <w:rPr>
          <w:rFonts w:cstheme="minorHAnsi"/>
          <w:b/>
          <w:sz w:val="24"/>
          <w:szCs w:val="24"/>
        </w:rPr>
        <w:t>Appendix B…………………………Primary CVD Prevention Pathway</w:t>
      </w:r>
    </w:p>
    <w:p w:rsidR="00DC0D1E" w:rsidRDefault="00DC0D1E" w:rsidP="00DC0D1E">
      <w:pPr>
        <w:spacing w:line="360" w:lineRule="auto"/>
        <w:ind w:left="360" w:firstLine="720"/>
        <w:jc w:val="both"/>
        <w:rPr>
          <w:rFonts w:cstheme="minorHAnsi"/>
          <w:b/>
          <w:sz w:val="24"/>
          <w:szCs w:val="24"/>
        </w:rPr>
      </w:pPr>
      <w:r w:rsidRPr="00714CA5">
        <w:rPr>
          <w:rFonts w:cstheme="minorHAnsi"/>
          <w:b/>
          <w:sz w:val="24"/>
          <w:szCs w:val="24"/>
        </w:rPr>
        <w:t>Appendix C…………………………Secondary CVD Prevention Pathway</w:t>
      </w:r>
    </w:p>
    <w:p w:rsidR="00DC0D1E" w:rsidRDefault="00DC0D1E" w:rsidP="00DC0D1E">
      <w:pPr>
        <w:spacing w:line="360" w:lineRule="auto"/>
        <w:ind w:left="360" w:firstLine="720"/>
        <w:jc w:val="both"/>
        <w:rPr>
          <w:rFonts w:cstheme="minorHAnsi"/>
          <w:b/>
          <w:sz w:val="24"/>
          <w:szCs w:val="24"/>
        </w:rPr>
      </w:pPr>
      <w:r>
        <w:rPr>
          <w:rFonts w:cstheme="minorHAnsi"/>
          <w:b/>
          <w:sz w:val="24"/>
          <w:szCs w:val="24"/>
        </w:rPr>
        <w:t>Appendix D………………………..</w:t>
      </w:r>
      <w:r w:rsidRPr="00714CA5">
        <w:rPr>
          <w:rFonts w:cstheme="minorHAnsi"/>
          <w:b/>
          <w:sz w:val="24"/>
          <w:szCs w:val="24"/>
        </w:rPr>
        <w:t>Statin Intolerance Pathway</w:t>
      </w:r>
    </w:p>
    <w:p w:rsidR="00DC0D1E" w:rsidRPr="00714CA5" w:rsidRDefault="00DC0D1E" w:rsidP="00DC0D1E">
      <w:pPr>
        <w:spacing w:line="360" w:lineRule="auto"/>
        <w:ind w:left="360" w:firstLine="720"/>
        <w:jc w:val="both"/>
        <w:rPr>
          <w:rFonts w:cstheme="minorHAnsi"/>
          <w:b/>
          <w:sz w:val="24"/>
          <w:szCs w:val="24"/>
        </w:rPr>
      </w:pPr>
      <w:r>
        <w:rPr>
          <w:rFonts w:cstheme="minorHAnsi"/>
          <w:b/>
          <w:sz w:val="24"/>
          <w:szCs w:val="24"/>
        </w:rPr>
        <w:t>Appendix E…………………………Paediatric FH Pathway</w:t>
      </w:r>
    </w:p>
    <w:p w:rsidR="00DC0D1E" w:rsidRPr="00506E8D" w:rsidRDefault="00DC0D1E" w:rsidP="00DC0D1E">
      <w:pPr>
        <w:pStyle w:val="ListParagraph"/>
        <w:spacing w:line="360" w:lineRule="auto"/>
        <w:ind w:left="1080"/>
        <w:jc w:val="both"/>
        <w:rPr>
          <w:rFonts w:cstheme="minorHAnsi"/>
          <w:b/>
          <w:sz w:val="24"/>
          <w:szCs w:val="24"/>
        </w:rPr>
      </w:pPr>
      <w:r w:rsidRPr="00714CA5">
        <w:rPr>
          <w:rFonts w:cstheme="minorHAnsi"/>
          <w:b/>
          <w:sz w:val="24"/>
          <w:szCs w:val="24"/>
        </w:rPr>
        <w:t xml:space="preserve">Appendix </w:t>
      </w:r>
      <w:r>
        <w:rPr>
          <w:rFonts w:cstheme="minorHAnsi"/>
          <w:b/>
          <w:sz w:val="24"/>
          <w:szCs w:val="24"/>
        </w:rPr>
        <w:t>F</w:t>
      </w:r>
      <w:r w:rsidRPr="00714CA5">
        <w:rPr>
          <w:rFonts w:cstheme="minorHAnsi"/>
          <w:b/>
          <w:sz w:val="24"/>
          <w:szCs w:val="24"/>
        </w:rPr>
        <w:t>………………………</w:t>
      </w:r>
      <w:r>
        <w:rPr>
          <w:rFonts w:cstheme="minorHAnsi"/>
          <w:b/>
          <w:sz w:val="24"/>
          <w:szCs w:val="24"/>
        </w:rPr>
        <w:t xml:space="preserve">…Hypertriglyceridaemia </w:t>
      </w:r>
      <w:r w:rsidRPr="00714CA5">
        <w:rPr>
          <w:rFonts w:cstheme="minorHAnsi"/>
          <w:b/>
          <w:sz w:val="24"/>
          <w:szCs w:val="24"/>
        </w:rPr>
        <w:t>Pa</w:t>
      </w:r>
      <w:r>
        <w:rPr>
          <w:rFonts w:cstheme="minorHAnsi"/>
          <w:b/>
          <w:sz w:val="24"/>
          <w:szCs w:val="24"/>
        </w:rPr>
        <w:t>thway</w:t>
      </w:r>
    </w:p>
    <w:p w:rsidR="00DC0D1E" w:rsidRPr="004620EC" w:rsidRDefault="00DC0D1E" w:rsidP="00DC0D1E">
      <w:pPr>
        <w:jc w:val="both"/>
        <w:rPr>
          <w:rFonts w:cstheme="minorHAnsi"/>
          <w:b/>
          <w:sz w:val="36"/>
          <w:szCs w:val="36"/>
        </w:rPr>
      </w:pPr>
      <w:r w:rsidRPr="004620EC">
        <w:rPr>
          <w:rFonts w:cstheme="minorHAnsi"/>
          <w:b/>
          <w:sz w:val="36"/>
          <w:szCs w:val="36"/>
        </w:rPr>
        <w:t>C</w:t>
      </w:r>
      <w:r>
        <w:rPr>
          <w:rFonts w:cstheme="minorHAnsi"/>
          <w:b/>
          <w:sz w:val="36"/>
          <w:szCs w:val="36"/>
        </w:rPr>
        <w:t>VD Risk Optimisation Tool K</w:t>
      </w:r>
      <w:r w:rsidRPr="004620EC">
        <w:rPr>
          <w:rFonts w:cstheme="minorHAnsi"/>
          <w:b/>
          <w:sz w:val="36"/>
          <w:szCs w:val="36"/>
        </w:rPr>
        <w:t>it</w:t>
      </w:r>
    </w:p>
    <w:p w:rsidR="00DC0D1E" w:rsidRPr="004620EC" w:rsidRDefault="00DC0D1E" w:rsidP="00DC0D1E">
      <w:pPr>
        <w:jc w:val="both"/>
        <w:rPr>
          <w:rFonts w:cstheme="minorHAnsi"/>
        </w:rPr>
      </w:pPr>
      <w:r w:rsidRPr="004620EC">
        <w:rPr>
          <w:rFonts w:cstheme="minorHAnsi"/>
        </w:rPr>
        <w:t>Treatment targets and goals for CVD prevention:</w:t>
      </w:r>
    </w:p>
    <w:tbl>
      <w:tblPr>
        <w:tblStyle w:val="TableGrid"/>
        <w:tblW w:w="0" w:type="auto"/>
        <w:tblLook w:val="04A0" w:firstRow="1" w:lastRow="0" w:firstColumn="1" w:lastColumn="0" w:noHBand="0" w:noVBand="1"/>
      </w:tblPr>
      <w:tblGrid>
        <w:gridCol w:w="2400"/>
        <w:gridCol w:w="6616"/>
      </w:tblGrid>
      <w:tr w:rsidR="00DC0D1E" w:rsidRPr="004620EC" w:rsidTr="004E27AF">
        <w:tc>
          <w:tcPr>
            <w:tcW w:w="2400" w:type="dxa"/>
          </w:tcPr>
          <w:p w:rsidR="00DC0D1E" w:rsidRPr="004620EC" w:rsidRDefault="00DC0D1E" w:rsidP="004E27AF">
            <w:pPr>
              <w:jc w:val="both"/>
              <w:rPr>
                <w:rFonts w:cstheme="minorHAnsi"/>
                <w:b/>
                <w:sz w:val="28"/>
                <w:szCs w:val="28"/>
              </w:rPr>
            </w:pPr>
            <w:r>
              <w:rPr>
                <w:rFonts w:cstheme="minorHAnsi"/>
                <w:b/>
                <w:sz w:val="28"/>
                <w:szCs w:val="28"/>
              </w:rPr>
              <w:t>CVD Check L</w:t>
            </w:r>
            <w:r w:rsidRPr="004620EC">
              <w:rPr>
                <w:rFonts w:cstheme="minorHAnsi"/>
                <w:b/>
                <w:sz w:val="28"/>
                <w:szCs w:val="28"/>
              </w:rPr>
              <w:t>ist</w:t>
            </w:r>
          </w:p>
        </w:tc>
        <w:tc>
          <w:tcPr>
            <w:tcW w:w="6616" w:type="dxa"/>
          </w:tcPr>
          <w:p w:rsidR="00DC0D1E" w:rsidRPr="004620EC" w:rsidRDefault="00DC0D1E" w:rsidP="004E27AF">
            <w:pPr>
              <w:jc w:val="both"/>
              <w:rPr>
                <w:rFonts w:cstheme="minorHAnsi"/>
                <w:b/>
                <w:sz w:val="28"/>
                <w:szCs w:val="28"/>
              </w:rPr>
            </w:pPr>
            <w:r w:rsidRPr="004620EC">
              <w:rPr>
                <w:rFonts w:cstheme="minorHAnsi"/>
                <w:b/>
                <w:sz w:val="28"/>
                <w:szCs w:val="28"/>
              </w:rPr>
              <w:t>Recommendation</w:t>
            </w:r>
          </w:p>
        </w:tc>
      </w:tr>
      <w:tr w:rsidR="00DC0D1E" w:rsidRPr="004620EC" w:rsidTr="004E27AF">
        <w:tc>
          <w:tcPr>
            <w:tcW w:w="2400" w:type="dxa"/>
          </w:tcPr>
          <w:p w:rsidR="00DC0D1E" w:rsidRPr="004620EC" w:rsidRDefault="00DC0D1E" w:rsidP="004E27AF">
            <w:pPr>
              <w:rPr>
                <w:rFonts w:cstheme="minorHAnsi"/>
              </w:rPr>
            </w:pPr>
            <w:r w:rsidRPr="004620EC">
              <w:rPr>
                <w:rFonts w:cstheme="minorHAnsi"/>
              </w:rPr>
              <w:t xml:space="preserve">Document Family history of premature heart disease </w:t>
            </w:r>
          </w:p>
        </w:tc>
        <w:tc>
          <w:tcPr>
            <w:tcW w:w="6616" w:type="dxa"/>
          </w:tcPr>
          <w:p w:rsidR="00DC0D1E" w:rsidRPr="004620EC" w:rsidRDefault="00DC0D1E" w:rsidP="004E27AF">
            <w:pPr>
              <w:jc w:val="both"/>
              <w:rPr>
                <w:rFonts w:cstheme="minorHAnsi"/>
              </w:rPr>
            </w:pPr>
            <w:r w:rsidRPr="004620EC">
              <w:rPr>
                <w:rFonts w:cstheme="minorHAnsi"/>
              </w:rPr>
              <w:t>Premature hear</w:t>
            </w:r>
            <w:r>
              <w:rPr>
                <w:rFonts w:cstheme="minorHAnsi"/>
              </w:rPr>
              <w:t>t disease is defined as onset &lt;6</w:t>
            </w:r>
            <w:r w:rsidRPr="004620EC">
              <w:rPr>
                <w:rFonts w:cstheme="minorHAnsi"/>
              </w:rPr>
              <w:t xml:space="preserve">0 years </w:t>
            </w:r>
            <w:r>
              <w:rPr>
                <w:rFonts w:cstheme="minorHAnsi"/>
              </w:rPr>
              <w:t>in first degree relatives and &lt;5</w:t>
            </w:r>
            <w:r w:rsidRPr="004620EC">
              <w:rPr>
                <w:rFonts w:cstheme="minorHAnsi"/>
              </w:rPr>
              <w:t>0 years in second degree relatives</w:t>
            </w:r>
          </w:p>
        </w:tc>
      </w:tr>
      <w:tr w:rsidR="00DC0D1E" w:rsidRPr="004620EC" w:rsidTr="004E27AF">
        <w:tc>
          <w:tcPr>
            <w:tcW w:w="2400" w:type="dxa"/>
          </w:tcPr>
          <w:p w:rsidR="00DC0D1E" w:rsidRPr="004620EC" w:rsidRDefault="00DC0D1E" w:rsidP="004E27AF">
            <w:pPr>
              <w:jc w:val="both"/>
              <w:rPr>
                <w:rFonts w:cstheme="minorHAnsi"/>
              </w:rPr>
            </w:pPr>
            <w:r w:rsidRPr="004620EC">
              <w:rPr>
                <w:rFonts w:cstheme="minorHAnsi"/>
              </w:rPr>
              <w:t>Does the patient have Familial Hypercholesterolaemia?</w:t>
            </w:r>
          </w:p>
        </w:tc>
        <w:tc>
          <w:tcPr>
            <w:tcW w:w="6616" w:type="dxa"/>
          </w:tcPr>
          <w:p w:rsidR="00DC0D1E" w:rsidRPr="004620EC" w:rsidRDefault="00DC0D1E" w:rsidP="004E27AF">
            <w:pPr>
              <w:jc w:val="both"/>
              <w:rPr>
                <w:rFonts w:cstheme="minorHAnsi"/>
              </w:rPr>
            </w:pPr>
            <w:r w:rsidRPr="004620EC">
              <w:rPr>
                <w:rFonts w:cstheme="minorHAnsi"/>
              </w:rPr>
              <w:t xml:space="preserve">Refer to Simon Broome criteria &amp; flow chart for Familial Hypercholesterolaemia </w:t>
            </w:r>
            <w:r>
              <w:rPr>
                <w:rFonts w:cstheme="minorHAnsi"/>
              </w:rPr>
              <w:t>– Appendix A (page 13)</w:t>
            </w:r>
          </w:p>
          <w:p w:rsidR="00DC0D1E" w:rsidRPr="004620EC" w:rsidRDefault="00DC0D1E" w:rsidP="004E27AF">
            <w:pPr>
              <w:jc w:val="both"/>
              <w:rPr>
                <w:rFonts w:cstheme="minorHAnsi"/>
              </w:rPr>
            </w:pPr>
            <w:r>
              <w:rPr>
                <w:rFonts w:cstheme="minorHAnsi"/>
              </w:rPr>
              <w:object w:dxaOrig="1534"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7" o:title=""/>
                </v:shape>
                <o:OLEObject Type="Embed" ProgID="Acrobat.Document.DC" ShapeID="_x0000_i1025" DrawAspect="Icon" ObjectID="_1733134876" r:id="rId8"/>
              </w:object>
            </w:r>
          </w:p>
          <w:p w:rsidR="00DC0D1E" w:rsidRPr="004620EC" w:rsidRDefault="00DC0D1E" w:rsidP="004E27AF">
            <w:pPr>
              <w:jc w:val="both"/>
              <w:rPr>
                <w:rFonts w:cstheme="minorHAnsi"/>
              </w:rPr>
            </w:pPr>
            <w:r w:rsidRPr="004620EC">
              <w:rPr>
                <w:rFonts w:cstheme="minorHAnsi"/>
              </w:rPr>
              <w:t xml:space="preserve">NICE CG71: </w:t>
            </w:r>
            <w:hyperlink r:id="rId9" w:history="1">
              <w:r w:rsidRPr="004620EC">
                <w:rPr>
                  <w:rStyle w:val="Hyperlink"/>
                  <w:rFonts w:cstheme="minorHAnsi"/>
                </w:rPr>
                <w:t>https://www.nice.org.uk/guidance/cg71</w:t>
              </w:r>
            </w:hyperlink>
          </w:p>
        </w:tc>
      </w:tr>
      <w:tr w:rsidR="00DC0D1E" w:rsidRPr="004620EC" w:rsidTr="004E27AF">
        <w:tc>
          <w:tcPr>
            <w:tcW w:w="2400" w:type="dxa"/>
          </w:tcPr>
          <w:p w:rsidR="00DC0D1E" w:rsidRPr="004620EC" w:rsidRDefault="00DC0D1E" w:rsidP="004E27AF">
            <w:pPr>
              <w:rPr>
                <w:rFonts w:cstheme="minorHAnsi"/>
              </w:rPr>
            </w:pPr>
            <w:r w:rsidRPr="004620EC">
              <w:rPr>
                <w:rFonts w:cstheme="minorHAnsi"/>
              </w:rPr>
              <w:t>History of Chronic kidney disease?</w:t>
            </w:r>
          </w:p>
        </w:tc>
        <w:tc>
          <w:tcPr>
            <w:tcW w:w="6616" w:type="dxa"/>
          </w:tcPr>
          <w:p w:rsidR="00DC0D1E" w:rsidRPr="004620EC" w:rsidRDefault="00DC0D1E" w:rsidP="004E27AF">
            <w:pPr>
              <w:jc w:val="both"/>
              <w:rPr>
                <w:rFonts w:cstheme="minorHAnsi"/>
              </w:rPr>
            </w:pPr>
            <w:r w:rsidRPr="004620EC">
              <w:rPr>
                <w:rFonts w:cstheme="minorHAnsi"/>
              </w:rPr>
              <w:t>Document stage of CKD, if applicable</w:t>
            </w:r>
          </w:p>
          <w:p w:rsidR="00DC0D1E" w:rsidRPr="004620EC" w:rsidRDefault="008D675D" w:rsidP="004E27AF">
            <w:pPr>
              <w:jc w:val="both"/>
              <w:rPr>
                <w:rFonts w:cstheme="minorHAnsi"/>
              </w:rPr>
            </w:pPr>
            <w:hyperlink r:id="rId10" w:history="1">
              <w:r w:rsidR="00DC0D1E" w:rsidRPr="004620EC">
                <w:rPr>
                  <w:rStyle w:val="Hyperlink"/>
                  <w:rFonts w:cstheme="minorHAnsi"/>
                </w:rPr>
                <w:t>https://www.nice.org.uk/guidance/ng203</w:t>
              </w:r>
            </w:hyperlink>
          </w:p>
        </w:tc>
      </w:tr>
      <w:tr w:rsidR="00DC0D1E" w:rsidRPr="004620EC" w:rsidTr="004E27AF">
        <w:tc>
          <w:tcPr>
            <w:tcW w:w="2400" w:type="dxa"/>
          </w:tcPr>
          <w:p w:rsidR="00DC0D1E" w:rsidRPr="004620EC" w:rsidRDefault="00DC0D1E" w:rsidP="004E27AF">
            <w:pPr>
              <w:jc w:val="both"/>
              <w:rPr>
                <w:rFonts w:cstheme="minorHAnsi"/>
              </w:rPr>
            </w:pPr>
            <w:r w:rsidRPr="004620EC">
              <w:rPr>
                <w:rFonts w:cstheme="minorHAnsi"/>
              </w:rPr>
              <w:t>Diabetes</w:t>
            </w:r>
          </w:p>
        </w:tc>
        <w:tc>
          <w:tcPr>
            <w:tcW w:w="6616" w:type="dxa"/>
          </w:tcPr>
          <w:p w:rsidR="00DC0D1E" w:rsidRPr="004620EC" w:rsidRDefault="00DC0D1E" w:rsidP="004E27AF">
            <w:pPr>
              <w:jc w:val="both"/>
              <w:rPr>
                <w:rFonts w:cstheme="minorHAnsi"/>
              </w:rPr>
            </w:pPr>
            <w:r w:rsidRPr="004620EC">
              <w:rPr>
                <w:rFonts w:cstheme="minorHAnsi"/>
              </w:rPr>
              <w:t xml:space="preserve">Type 1: </w:t>
            </w:r>
            <w:hyperlink r:id="rId11" w:history="1">
              <w:r w:rsidRPr="004620EC">
                <w:rPr>
                  <w:rStyle w:val="Hyperlink"/>
                  <w:rFonts w:cstheme="minorHAnsi"/>
                </w:rPr>
                <w:t>https://www.nice.org.uk/guidance/ng17</w:t>
              </w:r>
            </w:hyperlink>
          </w:p>
          <w:p w:rsidR="00DC0D1E" w:rsidRPr="004620EC" w:rsidRDefault="00DC0D1E" w:rsidP="004E27AF">
            <w:pPr>
              <w:jc w:val="both"/>
              <w:rPr>
                <w:rFonts w:cstheme="minorHAnsi"/>
                <w:color w:val="0E0E0E"/>
              </w:rPr>
            </w:pPr>
            <w:r w:rsidRPr="004620EC">
              <w:rPr>
                <w:rFonts w:cstheme="minorHAnsi"/>
              </w:rPr>
              <w:t xml:space="preserve">Type 2: </w:t>
            </w:r>
            <w:hyperlink r:id="rId12" w:history="1">
              <w:r w:rsidRPr="004620EC">
                <w:rPr>
                  <w:rStyle w:val="Hyperlink"/>
                  <w:rFonts w:cstheme="minorHAnsi"/>
                </w:rPr>
                <w:t>https://www.nice.org.uk/guidance/ng28</w:t>
              </w:r>
            </w:hyperlink>
          </w:p>
          <w:p w:rsidR="00DC0D1E" w:rsidRPr="004620EC" w:rsidRDefault="00DC0D1E" w:rsidP="004E27AF">
            <w:pPr>
              <w:jc w:val="both"/>
              <w:rPr>
                <w:rFonts w:cstheme="minorHAnsi"/>
                <w:color w:val="0E0E0E"/>
              </w:rPr>
            </w:pPr>
            <w:r w:rsidRPr="004620EC">
              <w:rPr>
                <w:rFonts w:cstheme="minorHAnsi"/>
              </w:rPr>
              <w:t xml:space="preserve">Target </w:t>
            </w:r>
            <w:r w:rsidRPr="004620EC">
              <w:rPr>
                <w:rFonts w:cstheme="minorHAnsi"/>
                <w:color w:val="0E0E0E"/>
              </w:rPr>
              <w:t>HbA1c level of 53 mmol/mol</w:t>
            </w:r>
          </w:p>
        </w:tc>
      </w:tr>
      <w:tr w:rsidR="00DC0D1E" w:rsidRPr="004620EC" w:rsidTr="004E27AF">
        <w:tc>
          <w:tcPr>
            <w:tcW w:w="2400" w:type="dxa"/>
          </w:tcPr>
          <w:p w:rsidR="00DC0D1E" w:rsidRPr="004620EC" w:rsidRDefault="00DC0D1E" w:rsidP="004E27AF">
            <w:pPr>
              <w:jc w:val="both"/>
              <w:rPr>
                <w:rFonts w:cstheme="minorHAnsi"/>
              </w:rPr>
            </w:pPr>
            <w:r w:rsidRPr="004620EC">
              <w:rPr>
                <w:rFonts w:cstheme="minorHAnsi"/>
              </w:rPr>
              <w:t>Smoking</w:t>
            </w:r>
          </w:p>
        </w:tc>
        <w:tc>
          <w:tcPr>
            <w:tcW w:w="6616" w:type="dxa"/>
          </w:tcPr>
          <w:p w:rsidR="00DC0D1E" w:rsidRPr="004620EC" w:rsidRDefault="00DC0D1E" w:rsidP="004E27AF">
            <w:pPr>
              <w:jc w:val="both"/>
              <w:rPr>
                <w:rFonts w:cstheme="minorHAnsi"/>
              </w:rPr>
            </w:pPr>
            <w:r w:rsidRPr="004620EC">
              <w:rPr>
                <w:rFonts w:cstheme="minorHAnsi"/>
              </w:rPr>
              <w:t>Avoid exposure to tobacco in any form</w:t>
            </w:r>
          </w:p>
          <w:p w:rsidR="00DC0D1E" w:rsidRPr="004620EC" w:rsidRDefault="00DC0D1E" w:rsidP="004E27AF">
            <w:pPr>
              <w:jc w:val="both"/>
              <w:rPr>
                <w:rFonts w:cstheme="minorHAnsi"/>
              </w:rPr>
            </w:pPr>
            <w:r w:rsidRPr="004620EC">
              <w:rPr>
                <w:rFonts w:cstheme="minorHAnsi"/>
              </w:rPr>
              <w:t>https://www.nice.org.uk/guidance/ng209/</w:t>
            </w:r>
          </w:p>
          <w:p w:rsidR="00DC0D1E" w:rsidRPr="004620EC" w:rsidRDefault="008D675D" w:rsidP="004E27AF">
            <w:pPr>
              <w:jc w:val="both"/>
              <w:rPr>
                <w:rFonts w:cstheme="minorHAnsi"/>
              </w:rPr>
            </w:pPr>
            <w:hyperlink r:id="rId13" w:history="1">
              <w:r w:rsidR="00DC0D1E" w:rsidRPr="004620EC">
                <w:rPr>
                  <w:rStyle w:val="Hyperlink"/>
                  <w:rFonts w:cstheme="minorHAnsi"/>
                </w:rPr>
                <w:t>Overview | Tobacco: preventing uptake, promoting quitting and treating dependence | Guidance | NICE</w:t>
              </w:r>
            </w:hyperlink>
          </w:p>
          <w:p w:rsidR="00DC0D1E" w:rsidRPr="004620EC" w:rsidRDefault="00DC0D1E" w:rsidP="004E27AF">
            <w:pPr>
              <w:jc w:val="both"/>
              <w:rPr>
                <w:rFonts w:cstheme="minorHAnsi"/>
                <w:b/>
              </w:rPr>
            </w:pPr>
            <w:r w:rsidRPr="004620EC">
              <w:rPr>
                <w:rFonts w:cstheme="minorHAnsi"/>
                <w:b/>
              </w:rPr>
              <w:t>Refer to stop smoking service locally in Hull</w:t>
            </w:r>
          </w:p>
        </w:tc>
      </w:tr>
      <w:tr w:rsidR="00DC0D1E" w:rsidRPr="004620EC" w:rsidTr="004E27AF">
        <w:tc>
          <w:tcPr>
            <w:tcW w:w="2400" w:type="dxa"/>
          </w:tcPr>
          <w:p w:rsidR="00DC0D1E" w:rsidRPr="004620EC" w:rsidRDefault="00DC0D1E" w:rsidP="004E27AF">
            <w:pPr>
              <w:jc w:val="both"/>
              <w:rPr>
                <w:rFonts w:cstheme="minorHAnsi"/>
              </w:rPr>
            </w:pPr>
            <w:r w:rsidRPr="004620EC">
              <w:rPr>
                <w:rFonts w:cstheme="minorHAnsi"/>
              </w:rPr>
              <w:t>Blood pressure</w:t>
            </w:r>
          </w:p>
        </w:tc>
        <w:tc>
          <w:tcPr>
            <w:tcW w:w="6616" w:type="dxa"/>
          </w:tcPr>
          <w:p w:rsidR="00DC0D1E" w:rsidRPr="004620EC" w:rsidRDefault="008D675D" w:rsidP="004E27AF">
            <w:pPr>
              <w:jc w:val="both"/>
              <w:rPr>
                <w:rFonts w:cstheme="minorHAnsi"/>
              </w:rPr>
            </w:pPr>
            <w:hyperlink r:id="rId14" w:history="1">
              <w:r w:rsidR="00DC0D1E" w:rsidRPr="004620EC">
                <w:rPr>
                  <w:rStyle w:val="Hyperlink"/>
                  <w:rFonts w:cstheme="minorHAnsi"/>
                </w:rPr>
                <w:t>https://www.nice.org.uk/guidance/ng136</w:t>
              </w:r>
            </w:hyperlink>
          </w:p>
          <w:p w:rsidR="00DC0D1E" w:rsidRPr="004620EC" w:rsidRDefault="00DC0D1E" w:rsidP="004E27AF">
            <w:pPr>
              <w:jc w:val="both"/>
              <w:rPr>
                <w:rFonts w:cstheme="minorHAnsi"/>
              </w:rPr>
            </w:pPr>
            <w:r w:rsidRPr="004620EC">
              <w:rPr>
                <w:rFonts w:cstheme="minorHAnsi"/>
              </w:rPr>
              <w:t>Target: &lt;140/90 mm Hg (if primary prevention and not known to have documented hypertension, pregnancy, diabetes or chronic kidney disease).</w:t>
            </w:r>
          </w:p>
          <w:p w:rsidR="00DC0D1E" w:rsidRPr="004620EC" w:rsidRDefault="00DC0D1E" w:rsidP="004E27AF">
            <w:pPr>
              <w:jc w:val="both"/>
              <w:rPr>
                <w:rFonts w:cstheme="minorHAnsi"/>
              </w:rPr>
            </w:pPr>
            <w:r w:rsidRPr="004620EC">
              <w:rPr>
                <w:rFonts w:cstheme="minorHAnsi"/>
              </w:rPr>
              <w:t xml:space="preserve">Offer Ambulatory BP if clinic BP between </w:t>
            </w:r>
            <w:r w:rsidRPr="004620EC">
              <w:rPr>
                <w:rFonts w:cstheme="minorHAnsi"/>
                <w:color w:val="0E0E0E"/>
              </w:rPr>
              <w:t>140/90 mmHg and 180/120 mmHg.</w:t>
            </w:r>
          </w:p>
          <w:p w:rsidR="00DC0D1E" w:rsidRPr="004620EC" w:rsidRDefault="00DC0D1E" w:rsidP="004E27AF">
            <w:pPr>
              <w:jc w:val="both"/>
              <w:rPr>
                <w:rFonts w:cstheme="minorHAnsi"/>
              </w:rPr>
            </w:pPr>
            <w:r w:rsidRPr="004620EC">
              <w:rPr>
                <w:rFonts w:cstheme="minorHAnsi"/>
                <w:b/>
              </w:rPr>
              <w:t>Diabetes</w:t>
            </w:r>
            <w:r w:rsidRPr="004620EC">
              <w:rPr>
                <w:rFonts w:cstheme="minorHAnsi"/>
              </w:rPr>
              <w:t>:</w:t>
            </w:r>
          </w:p>
          <w:p w:rsidR="00DC0D1E" w:rsidRPr="004620EC" w:rsidRDefault="00DC0D1E" w:rsidP="004E27AF">
            <w:pPr>
              <w:jc w:val="both"/>
              <w:rPr>
                <w:rFonts w:cstheme="minorHAnsi"/>
                <w:color w:val="0E0E0E"/>
              </w:rPr>
            </w:pPr>
            <w:r w:rsidRPr="004620EC">
              <w:rPr>
                <w:rFonts w:cstheme="minorHAnsi"/>
              </w:rPr>
              <w:t>In patients with type 1 Diabetes: target &lt;</w:t>
            </w:r>
            <w:r w:rsidRPr="004620EC">
              <w:rPr>
                <w:rFonts w:cstheme="minorHAnsi"/>
                <w:color w:val="0E0E0E"/>
              </w:rPr>
              <w:t>135/85 mmHg</w:t>
            </w:r>
          </w:p>
          <w:p w:rsidR="00DC0D1E" w:rsidRPr="004620EC" w:rsidRDefault="00DC0D1E" w:rsidP="004E27AF">
            <w:pPr>
              <w:jc w:val="both"/>
              <w:rPr>
                <w:rFonts w:cstheme="minorHAnsi"/>
                <w:color w:val="0E0E0E"/>
              </w:rPr>
            </w:pPr>
            <w:r w:rsidRPr="004620EC">
              <w:rPr>
                <w:rFonts w:cstheme="minorHAnsi"/>
              </w:rPr>
              <w:t>In patients with type 1 Diabetes and end organ involvement: target &lt;</w:t>
            </w:r>
            <w:r w:rsidRPr="004620EC">
              <w:rPr>
                <w:rFonts w:cstheme="minorHAnsi"/>
                <w:color w:val="0E0E0E"/>
              </w:rPr>
              <w:t>130/80 mmHg</w:t>
            </w:r>
          </w:p>
          <w:p w:rsidR="00DC0D1E" w:rsidRPr="004620EC" w:rsidRDefault="00DC0D1E" w:rsidP="004E27AF">
            <w:pPr>
              <w:jc w:val="both"/>
              <w:rPr>
                <w:rFonts w:cstheme="minorHAnsi"/>
                <w:b/>
              </w:rPr>
            </w:pPr>
            <w:r w:rsidRPr="004620EC">
              <w:rPr>
                <w:rFonts w:cstheme="minorHAnsi"/>
              </w:rPr>
              <w:t>In patients with type 2 Diabetes</w:t>
            </w:r>
            <w:r w:rsidRPr="004620EC">
              <w:rPr>
                <w:rFonts w:cstheme="minorHAnsi"/>
                <w:b/>
              </w:rPr>
              <w:t xml:space="preserve">: </w:t>
            </w:r>
            <w:r w:rsidRPr="004620EC">
              <w:rPr>
                <w:rFonts w:cstheme="minorHAnsi"/>
              </w:rPr>
              <w:t>target &lt;</w:t>
            </w:r>
            <w:r w:rsidRPr="004620EC">
              <w:rPr>
                <w:rFonts w:cstheme="minorHAnsi"/>
                <w:color w:val="0E0E0E"/>
              </w:rPr>
              <w:t>135/85 mmHg</w:t>
            </w:r>
          </w:p>
          <w:p w:rsidR="00DC0D1E" w:rsidRPr="004620EC" w:rsidRDefault="00DC0D1E" w:rsidP="004E27AF">
            <w:pPr>
              <w:jc w:val="both"/>
              <w:rPr>
                <w:rFonts w:cstheme="minorHAnsi"/>
              </w:rPr>
            </w:pPr>
            <w:r w:rsidRPr="004620EC">
              <w:rPr>
                <w:rFonts w:cstheme="minorHAnsi"/>
                <w:b/>
              </w:rPr>
              <w:t>Chronic kidney disease</w:t>
            </w:r>
            <w:r w:rsidRPr="004620EC">
              <w:rPr>
                <w:rFonts w:cstheme="minorHAnsi"/>
              </w:rPr>
              <w:t>:</w:t>
            </w:r>
          </w:p>
          <w:p w:rsidR="00DC0D1E" w:rsidRPr="004620EC" w:rsidRDefault="00DC0D1E" w:rsidP="004E27AF">
            <w:pPr>
              <w:jc w:val="both"/>
              <w:rPr>
                <w:rFonts w:cstheme="minorHAnsi"/>
                <w:color w:val="0E0E0E"/>
              </w:rPr>
            </w:pPr>
            <w:r w:rsidRPr="004620EC">
              <w:rPr>
                <w:rFonts w:cstheme="minorHAnsi"/>
                <w:color w:val="0E0E0E"/>
              </w:rPr>
              <w:t>In adults with CKD and an ACR of &gt;70 mg/mmol: target &lt; 130/80 mmHg</w:t>
            </w:r>
          </w:p>
        </w:tc>
      </w:tr>
      <w:tr w:rsidR="00DC0D1E" w:rsidRPr="004620EC" w:rsidTr="004E27AF">
        <w:tc>
          <w:tcPr>
            <w:tcW w:w="2400" w:type="dxa"/>
          </w:tcPr>
          <w:p w:rsidR="00DC0D1E" w:rsidRPr="004620EC" w:rsidRDefault="00DC0D1E" w:rsidP="004E27AF">
            <w:pPr>
              <w:jc w:val="both"/>
              <w:rPr>
                <w:rFonts w:cstheme="minorHAnsi"/>
              </w:rPr>
            </w:pPr>
            <w:r w:rsidRPr="004620EC">
              <w:rPr>
                <w:rFonts w:cstheme="minorHAnsi"/>
              </w:rPr>
              <w:t>Lipids</w:t>
            </w:r>
          </w:p>
        </w:tc>
        <w:tc>
          <w:tcPr>
            <w:tcW w:w="6616" w:type="dxa"/>
          </w:tcPr>
          <w:p w:rsidR="00DC0D1E" w:rsidRPr="004620EC" w:rsidRDefault="00DC0D1E" w:rsidP="004E27AF">
            <w:pPr>
              <w:jc w:val="both"/>
              <w:rPr>
                <w:rFonts w:cstheme="minorHAnsi"/>
              </w:rPr>
            </w:pPr>
            <w:r w:rsidRPr="004620EC">
              <w:rPr>
                <w:rFonts w:cstheme="minorHAnsi"/>
                <w:b/>
              </w:rPr>
              <w:t>Primary prevention of CVD</w:t>
            </w:r>
            <w:r w:rsidRPr="004620EC">
              <w:rPr>
                <w:rFonts w:cstheme="minorHAnsi"/>
              </w:rPr>
              <w:t>:</w:t>
            </w:r>
            <w:r>
              <w:rPr>
                <w:rFonts w:cstheme="minorHAnsi"/>
              </w:rPr>
              <w:t xml:space="preserve"> Appendix B (page 14)</w:t>
            </w:r>
          </w:p>
          <w:p w:rsidR="00DC0D1E" w:rsidRPr="004620EC" w:rsidRDefault="00DC0D1E" w:rsidP="004E27AF">
            <w:pPr>
              <w:jc w:val="both"/>
              <w:rPr>
                <w:rFonts w:cstheme="minorHAnsi"/>
                <w:b/>
                <w:bCs/>
              </w:rPr>
            </w:pPr>
            <w:r w:rsidRPr="004620EC">
              <w:rPr>
                <w:rFonts w:cstheme="minorHAnsi"/>
              </w:rPr>
              <w:t xml:space="preserve">Target for High risk CVD (see list below) patients: </w:t>
            </w:r>
            <w:r w:rsidRPr="004620EC">
              <w:rPr>
                <w:rFonts w:cstheme="minorHAnsi"/>
                <w:b/>
                <w:bCs/>
              </w:rPr>
              <w:t>&gt;40% reduction in Non- HDL-C from baseline</w:t>
            </w:r>
          </w:p>
          <w:p w:rsidR="00DC0D1E" w:rsidRPr="004620EC" w:rsidRDefault="00DC0D1E" w:rsidP="004E27AF">
            <w:pPr>
              <w:jc w:val="both"/>
              <w:rPr>
                <w:rFonts w:cstheme="minorHAnsi"/>
              </w:rPr>
            </w:pPr>
            <w:r>
              <w:rPr>
                <w:rFonts w:cstheme="minorHAnsi"/>
              </w:rPr>
              <w:object w:dxaOrig="1534" w:dyaOrig="997">
                <v:shape id="_x0000_i1026" type="#_x0000_t75" style="width:76.5pt;height:49.5pt" o:ole="">
                  <v:imagedata r:id="rId15" o:title=""/>
                </v:shape>
                <o:OLEObject Type="Embed" ProgID="Acrobat.Document.DC" ShapeID="_x0000_i1026" DrawAspect="Icon" ObjectID="_1733134877" r:id="rId16"/>
              </w:object>
            </w:r>
          </w:p>
          <w:p w:rsidR="00DC0D1E" w:rsidRPr="004620EC" w:rsidRDefault="00DC0D1E" w:rsidP="004E27AF">
            <w:pPr>
              <w:jc w:val="both"/>
              <w:rPr>
                <w:rFonts w:cstheme="minorHAnsi"/>
              </w:rPr>
            </w:pPr>
            <w:r w:rsidRPr="004620EC">
              <w:rPr>
                <w:rFonts w:cstheme="minorHAnsi"/>
                <w:b/>
              </w:rPr>
              <w:t>Secondary prevention of CVD</w:t>
            </w:r>
            <w:r w:rsidRPr="004620EC">
              <w:rPr>
                <w:rFonts w:cstheme="minorHAnsi"/>
              </w:rPr>
              <w:t>:</w:t>
            </w:r>
            <w:r>
              <w:rPr>
                <w:rFonts w:cstheme="minorHAnsi"/>
              </w:rPr>
              <w:t xml:space="preserve"> Appendix C (page 15)</w:t>
            </w:r>
          </w:p>
          <w:p w:rsidR="00DC0D1E" w:rsidRPr="004620EC" w:rsidRDefault="00DC0D1E" w:rsidP="004E27AF">
            <w:pPr>
              <w:jc w:val="both"/>
              <w:rPr>
                <w:rFonts w:cstheme="minorHAnsi"/>
                <w:b/>
              </w:rPr>
            </w:pPr>
            <w:r w:rsidRPr="004620EC">
              <w:rPr>
                <w:rFonts w:cstheme="minorHAnsi"/>
              </w:rPr>
              <w:t xml:space="preserve">Target: </w:t>
            </w:r>
            <w:r w:rsidRPr="004620EC">
              <w:rPr>
                <w:rFonts w:cstheme="minorHAnsi"/>
                <w:b/>
              </w:rPr>
              <w:t xml:space="preserve">LDL-C goal of ≤ 1.8 mmol/L </w:t>
            </w:r>
          </w:p>
          <w:p w:rsidR="00DC0D1E" w:rsidRPr="004620EC" w:rsidRDefault="00DC0D1E" w:rsidP="004E27AF">
            <w:pPr>
              <w:jc w:val="both"/>
              <w:rPr>
                <w:rFonts w:cstheme="minorHAnsi"/>
              </w:rPr>
            </w:pPr>
            <w:r>
              <w:rPr>
                <w:rFonts w:cstheme="minorHAnsi"/>
              </w:rPr>
              <w:object w:dxaOrig="1534" w:dyaOrig="997">
                <v:shape id="_x0000_i1027" type="#_x0000_t75" style="width:76.5pt;height:49.5pt" o:ole="">
                  <v:imagedata r:id="rId17" o:title=""/>
                </v:shape>
                <o:OLEObject Type="Embed" ProgID="Acrobat.Document.DC" ShapeID="_x0000_i1027" DrawAspect="Icon" ObjectID="_1733134878" r:id="rId18"/>
              </w:object>
            </w:r>
          </w:p>
          <w:p w:rsidR="00DC0D1E" w:rsidRPr="004620EC" w:rsidRDefault="00DC0D1E" w:rsidP="004E27AF">
            <w:pPr>
              <w:jc w:val="both"/>
              <w:rPr>
                <w:rFonts w:cstheme="minorHAnsi"/>
              </w:rPr>
            </w:pPr>
            <w:r w:rsidRPr="004620EC">
              <w:rPr>
                <w:rFonts w:cstheme="minorHAnsi"/>
                <w:b/>
              </w:rPr>
              <w:t>Statin Intolerance pathway:</w:t>
            </w:r>
            <w:r>
              <w:rPr>
                <w:rFonts w:cstheme="minorHAnsi"/>
                <w:b/>
              </w:rPr>
              <w:t xml:space="preserve"> </w:t>
            </w:r>
            <w:r>
              <w:rPr>
                <w:rFonts w:cstheme="minorHAnsi"/>
              </w:rPr>
              <w:t>Appendix D (page 16)</w:t>
            </w:r>
          </w:p>
          <w:p w:rsidR="00DC0D1E" w:rsidRPr="004620EC" w:rsidRDefault="00DC0D1E" w:rsidP="004E27AF">
            <w:pPr>
              <w:jc w:val="both"/>
              <w:rPr>
                <w:rFonts w:cstheme="minorHAnsi"/>
                <w:b/>
              </w:rPr>
            </w:pPr>
            <w:r>
              <w:rPr>
                <w:rFonts w:cstheme="minorHAnsi"/>
                <w:b/>
              </w:rPr>
              <w:object w:dxaOrig="1534" w:dyaOrig="997">
                <v:shape id="_x0000_i1028" type="#_x0000_t75" style="width:76.5pt;height:49.5pt" o:ole="">
                  <v:imagedata r:id="rId19" o:title=""/>
                </v:shape>
                <o:OLEObject Type="Embed" ProgID="Acrobat.Document.DC" ShapeID="_x0000_i1028" DrawAspect="Icon" ObjectID="_1733134879" r:id="rId20"/>
              </w:object>
            </w:r>
          </w:p>
        </w:tc>
      </w:tr>
      <w:tr w:rsidR="00DC0D1E" w:rsidRPr="004620EC" w:rsidTr="004E27AF">
        <w:tc>
          <w:tcPr>
            <w:tcW w:w="2400" w:type="dxa"/>
          </w:tcPr>
          <w:p w:rsidR="00DC0D1E" w:rsidRPr="004620EC" w:rsidRDefault="00DC0D1E" w:rsidP="004E27AF">
            <w:pPr>
              <w:jc w:val="both"/>
              <w:rPr>
                <w:rFonts w:cstheme="minorHAnsi"/>
              </w:rPr>
            </w:pPr>
            <w:r w:rsidRPr="004620EC">
              <w:rPr>
                <w:rFonts w:cstheme="minorHAnsi"/>
              </w:rPr>
              <w:t>Alcohol</w:t>
            </w:r>
          </w:p>
        </w:tc>
        <w:tc>
          <w:tcPr>
            <w:tcW w:w="6616" w:type="dxa"/>
          </w:tcPr>
          <w:p w:rsidR="00DC0D1E" w:rsidRPr="004620EC" w:rsidRDefault="00DC0D1E" w:rsidP="004E27AF">
            <w:pPr>
              <w:jc w:val="both"/>
              <w:rPr>
                <w:rFonts w:cstheme="minorHAnsi"/>
              </w:rPr>
            </w:pPr>
            <w:r w:rsidRPr="004620EC">
              <w:rPr>
                <w:rFonts w:cstheme="minorHAnsi"/>
              </w:rPr>
              <w:t>&lt;14 Units per week</w:t>
            </w:r>
          </w:p>
        </w:tc>
      </w:tr>
      <w:tr w:rsidR="00DC0D1E" w:rsidRPr="004620EC" w:rsidTr="004E27AF">
        <w:tc>
          <w:tcPr>
            <w:tcW w:w="2400" w:type="dxa"/>
          </w:tcPr>
          <w:p w:rsidR="00DC0D1E" w:rsidRPr="004620EC" w:rsidRDefault="00DC0D1E" w:rsidP="004E27AF">
            <w:pPr>
              <w:jc w:val="both"/>
              <w:rPr>
                <w:rFonts w:cstheme="minorHAnsi"/>
              </w:rPr>
            </w:pPr>
            <w:r w:rsidRPr="004620EC">
              <w:rPr>
                <w:rFonts w:cstheme="minorHAnsi"/>
              </w:rPr>
              <w:t>Body weight</w:t>
            </w:r>
          </w:p>
        </w:tc>
        <w:tc>
          <w:tcPr>
            <w:tcW w:w="6616" w:type="dxa"/>
          </w:tcPr>
          <w:p w:rsidR="00DC0D1E" w:rsidRPr="004620EC" w:rsidRDefault="00DC0D1E" w:rsidP="004E27AF">
            <w:pPr>
              <w:jc w:val="both"/>
              <w:rPr>
                <w:rFonts w:cstheme="minorHAnsi"/>
              </w:rPr>
            </w:pPr>
            <w:r w:rsidRPr="004620EC">
              <w:rPr>
                <w:rFonts w:cstheme="minorHAnsi"/>
              </w:rPr>
              <w:t>Healthy BMI 20- 25 kg/m2 and waist circumference &lt;94 cm in men and &lt;80 cm in women</w:t>
            </w:r>
          </w:p>
        </w:tc>
      </w:tr>
      <w:tr w:rsidR="00DC0D1E" w:rsidRPr="004620EC" w:rsidTr="004E27AF">
        <w:tc>
          <w:tcPr>
            <w:tcW w:w="2400" w:type="dxa"/>
          </w:tcPr>
          <w:p w:rsidR="00DC0D1E" w:rsidRPr="004620EC" w:rsidRDefault="00DC0D1E" w:rsidP="004E27AF">
            <w:pPr>
              <w:jc w:val="both"/>
              <w:rPr>
                <w:rFonts w:cstheme="minorHAnsi"/>
              </w:rPr>
            </w:pPr>
            <w:r w:rsidRPr="004620EC">
              <w:rPr>
                <w:rFonts w:cstheme="minorHAnsi"/>
              </w:rPr>
              <w:t>Diet</w:t>
            </w:r>
          </w:p>
        </w:tc>
        <w:tc>
          <w:tcPr>
            <w:tcW w:w="6616" w:type="dxa"/>
          </w:tcPr>
          <w:p w:rsidR="00DC0D1E" w:rsidRPr="004620EC" w:rsidRDefault="00DC0D1E" w:rsidP="004E27AF">
            <w:pPr>
              <w:jc w:val="both"/>
              <w:rPr>
                <w:rFonts w:cstheme="minorHAnsi"/>
              </w:rPr>
            </w:pPr>
            <w:r w:rsidRPr="004620EC">
              <w:rPr>
                <w:rFonts w:cstheme="minorHAnsi"/>
              </w:rPr>
              <w:t>Healthy well balanced diet with a low intake of saturated fat</w:t>
            </w:r>
            <w:permStart w:id="1381848458" w:edGrp="everyone"/>
            <w:permEnd w:id="1381848458"/>
          </w:p>
          <w:p w:rsidR="00DC0D1E" w:rsidRPr="004620EC" w:rsidRDefault="00DC0D1E" w:rsidP="004E27AF">
            <w:pPr>
              <w:jc w:val="both"/>
              <w:rPr>
                <w:rFonts w:cstheme="minorHAnsi"/>
              </w:rPr>
            </w:pPr>
            <w:r w:rsidRPr="004620EC">
              <w:rPr>
                <w:rFonts w:cstheme="minorHAnsi"/>
              </w:rPr>
              <w:t>Provide HEARTUK website information for heart healthy diet</w:t>
            </w:r>
          </w:p>
          <w:p w:rsidR="00DC0D1E" w:rsidRPr="004620EC" w:rsidRDefault="008D675D" w:rsidP="004E27AF">
            <w:pPr>
              <w:jc w:val="both"/>
              <w:rPr>
                <w:rFonts w:cstheme="minorHAnsi"/>
              </w:rPr>
            </w:pPr>
            <w:hyperlink r:id="rId21" w:history="1">
              <w:r w:rsidR="00DC0D1E" w:rsidRPr="004620EC">
                <w:rPr>
                  <w:rStyle w:val="Hyperlink"/>
                  <w:rFonts w:cstheme="minorHAnsi"/>
                </w:rPr>
                <w:t>Eating for lower cholesterol | HEART UK - The Cholesterol Charity</w:t>
              </w:r>
            </w:hyperlink>
          </w:p>
        </w:tc>
      </w:tr>
      <w:tr w:rsidR="00DC0D1E" w:rsidRPr="004620EC" w:rsidTr="004E27AF">
        <w:tc>
          <w:tcPr>
            <w:tcW w:w="2400" w:type="dxa"/>
          </w:tcPr>
          <w:p w:rsidR="00DC0D1E" w:rsidRPr="004620EC" w:rsidRDefault="00DC0D1E" w:rsidP="004E27AF">
            <w:pPr>
              <w:jc w:val="both"/>
              <w:rPr>
                <w:rFonts w:cstheme="minorHAnsi"/>
              </w:rPr>
            </w:pPr>
            <w:r w:rsidRPr="004620EC">
              <w:rPr>
                <w:rFonts w:cstheme="minorHAnsi"/>
              </w:rPr>
              <w:t>Physical activity</w:t>
            </w:r>
          </w:p>
        </w:tc>
        <w:tc>
          <w:tcPr>
            <w:tcW w:w="6616" w:type="dxa"/>
          </w:tcPr>
          <w:p w:rsidR="00DC0D1E" w:rsidRPr="004620EC" w:rsidRDefault="00DC0D1E" w:rsidP="004E27AF">
            <w:pPr>
              <w:jc w:val="both"/>
              <w:rPr>
                <w:rFonts w:cstheme="minorHAnsi"/>
              </w:rPr>
            </w:pPr>
            <w:r w:rsidRPr="004620EC">
              <w:rPr>
                <w:rFonts w:cstheme="minorHAnsi"/>
              </w:rPr>
              <w:t>Moderate intensity exercise minimum of 30 mins- 60 mins each day</w:t>
            </w:r>
          </w:p>
        </w:tc>
      </w:tr>
    </w:tbl>
    <w:p w:rsidR="00DC0D1E" w:rsidRPr="004620EC" w:rsidRDefault="00DC0D1E" w:rsidP="00DC0D1E">
      <w:pPr>
        <w:jc w:val="both"/>
        <w:rPr>
          <w:rFonts w:cstheme="minorHAnsi"/>
          <w:b/>
          <w:sz w:val="36"/>
          <w:szCs w:val="36"/>
        </w:rPr>
      </w:pPr>
    </w:p>
    <w:p w:rsidR="00DC0D1E" w:rsidRPr="004620EC" w:rsidRDefault="00DC0D1E" w:rsidP="00DC0D1E">
      <w:pPr>
        <w:jc w:val="both"/>
        <w:rPr>
          <w:rFonts w:cstheme="minorHAnsi"/>
          <w:sz w:val="36"/>
          <w:szCs w:val="36"/>
        </w:rPr>
      </w:pPr>
      <w:r w:rsidRPr="004620EC">
        <w:rPr>
          <w:rFonts w:cstheme="minorHAnsi"/>
          <w:b/>
          <w:sz w:val="36"/>
          <w:szCs w:val="36"/>
        </w:rPr>
        <w:t>Primary prevention of CVD</w:t>
      </w:r>
    </w:p>
    <w:p w:rsidR="00DC0D1E" w:rsidRPr="004620EC" w:rsidRDefault="00DC0D1E" w:rsidP="00DC0D1E">
      <w:pPr>
        <w:pStyle w:val="ListParagraph"/>
        <w:numPr>
          <w:ilvl w:val="0"/>
          <w:numId w:val="2"/>
        </w:numPr>
        <w:jc w:val="both"/>
        <w:rPr>
          <w:rFonts w:cstheme="minorHAnsi"/>
          <w:bCs/>
        </w:rPr>
      </w:pPr>
      <w:r w:rsidRPr="004620EC">
        <w:rPr>
          <w:rFonts w:cstheme="minorHAnsi"/>
        </w:rPr>
        <w:t xml:space="preserve">Request a full non-fasting Lipid profile for both </w:t>
      </w:r>
      <w:r w:rsidRPr="004620EC">
        <w:rPr>
          <w:rFonts w:cstheme="minorHAnsi"/>
          <w:bCs/>
        </w:rPr>
        <w:t xml:space="preserve">diagnosis and monitoring patients with CVD risk. </w:t>
      </w:r>
    </w:p>
    <w:p w:rsidR="00DC0D1E" w:rsidRPr="004620EC" w:rsidRDefault="00DC0D1E" w:rsidP="00DC0D1E">
      <w:pPr>
        <w:pStyle w:val="ListParagraph"/>
        <w:numPr>
          <w:ilvl w:val="0"/>
          <w:numId w:val="2"/>
        </w:numPr>
        <w:jc w:val="both"/>
        <w:rPr>
          <w:rFonts w:cstheme="minorHAnsi"/>
          <w:bCs/>
        </w:rPr>
      </w:pPr>
      <w:r w:rsidRPr="004620EC">
        <w:rPr>
          <w:rFonts w:cstheme="minorHAnsi"/>
        </w:rPr>
        <w:t>NICE CG181 recommends non HDL-c measured from a non-fasting blood in preference to LDL- c as the treatment goal for lipid lowering therapy. There are distinct advantages in using non-HDL cholesterol measurements (a fasting blood sample not needed, convenient for patients, cost effective. Non-HDL cholesterol includes all cholesterol present in lipoprotein particles considered to be atherogenic, (includes low-density lipoprotein (LDL), Lipoprotein (a), intermediate-density lipoprotein and very-low-density lipoprotein) and has been suggested to be a better tool for cardiovascular (CVD) risk assessment than LDL-c.</w:t>
      </w:r>
    </w:p>
    <w:p w:rsidR="00DC0D1E" w:rsidRPr="004620EC" w:rsidRDefault="00DC0D1E" w:rsidP="00DC0D1E">
      <w:pPr>
        <w:pStyle w:val="ListParagraph"/>
        <w:numPr>
          <w:ilvl w:val="0"/>
          <w:numId w:val="2"/>
        </w:numPr>
        <w:jc w:val="both"/>
        <w:rPr>
          <w:rFonts w:cstheme="minorHAnsi"/>
          <w:bCs/>
        </w:rPr>
      </w:pPr>
      <w:r w:rsidRPr="004620EC">
        <w:rPr>
          <w:rFonts w:cstheme="minorHAnsi"/>
          <w:lang w:val="en-US"/>
        </w:rPr>
        <w:t>Systemic conditions like Diabetes</w:t>
      </w:r>
      <w:r w:rsidRPr="004620EC">
        <w:rPr>
          <w:rFonts w:cstheme="minorHAnsi"/>
        </w:rPr>
        <w:t xml:space="preserve">, </w:t>
      </w:r>
      <w:r w:rsidRPr="004620EC">
        <w:rPr>
          <w:rFonts w:cstheme="minorHAnsi"/>
          <w:lang w:val="en-US"/>
        </w:rPr>
        <w:t>Hypothyroidism, Obstructive liver disease, Nephrotic syndrome, Renal failure, Myeloma, pregnancy, medications</w:t>
      </w:r>
      <w:r w:rsidRPr="004620EC">
        <w:rPr>
          <w:rFonts w:cstheme="minorHAnsi"/>
          <w:b/>
          <w:bCs/>
          <w:lang w:val="en-US"/>
        </w:rPr>
        <w:t xml:space="preserve"> </w:t>
      </w:r>
      <w:r w:rsidRPr="004620EC">
        <w:rPr>
          <w:rFonts w:cstheme="minorHAnsi"/>
          <w:bCs/>
          <w:lang w:val="en-US"/>
        </w:rPr>
        <w:t>(c</w:t>
      </w:r>
      <w:r w:rsidRPr="004620EC">
        <w:rPr>
          <w:rFonts w:cstheme="minorHAnsi"/>
          <w:lang w:val="en-US"/>
        </w:rPr>
        <w:t xml:space="preserve">orticosteroids, Androgenic steroids, contraceptive therapy, Thiazides, non-selective </w:t>
      </w:r>
      <w:r w:rsidRPr="004620EC">
        <w:rPr>
          <w:rFonts w:cstheme="minorHAnsi"/>
          <w:lang w:val="el-GR"/>
        </w:rPr>
        <w:t>β-</w:t>
      </w:r>
      <w:r w:rsidRPr="004620EC">
        <w:rPr>
          <w:rFonts w:cstheme="minorHAnsi"/>
          <w:lang w:val="en-US"/>
        </w:rPr>
        <w:t xml:space="preserve">blockers, Retinoic acid derivatives, HRT, sertraline, atypical antipsychotics, antiretroviral therapy), SLE, hypopituitarism may present with dyslipidaemia. </w:t>
      </w:r>
    </w:p>
    <w:p w:rsidR="00DC0D1E" w:rsidRPr="004620EC" w:rsidRDefault="00DC0D1E" w:rsidP="00DC0D1E">
      <w:pPr>
        <w:pStyle w:val="ListParagraph"/>
        <w:numPr>
          <w:ilvl w:val="0"/>
          <w:numId w:val="2"/>
        </w:numPr>
        <w:jc w:val="both"/>
        <w:rPr>
          <w:rFonts w:cstheme="minorHAnsi"/>
        </w:rPr>
      </w:pPr>
      <w:r w:rsidRPr="004620EC">
        <w:rPr>
          <w:rFonts w:cstheme="minorHAnsi"/>
          <w:lang w:val="en-US"/>
        </w:rPr>
        <w:t>Do a full secondary screen for dyslipidaemia (U&amp;E, LFT, TSH, HbA1c, urine dipstick).</w:t>
      </w:r>
    </w:p>
    <w:p w:rsidR="00DC0D1E" w:rsidRPr="004620EC" w:rsidRDefault="00DC0D1E" w:rsidP="00DC0D1E">
      <w:pPr>
        <w:pStyle w:val="ListParagraph"/>
        <w:numPr>
          <w:ilvl w:val="0"/>
          <w:numId w:val="2"/>
        </w:numPr>
        <w:jc w:val="both"/>
        <w:rPr>
          <w:rFonts w:cstheme="minorHAnsi"/>
        </w:rPr>
      </w:pPr>
      <w:r w:rsidRPr="004620EC">
        <w:rPr>
          <w:rFonts w:cstheme="minorHAnsi"/>
        </w:rPr>
        <w:t>Patients with Familial Hypercholesterolaemia, markedly elevated single risk factors, in particular TC ≥ 8 mmol/L and LDL-C ≥ 4.9 mmol/L or BP ≥180/110 mmHg, Diabetes with target organ damage (nephropathy) or a duration ≥ 10 years or another additional risk factor, patients with type 1 Diabetes &gt; 40 years of age, Chronic kidney disease stage 3 A &amp;B (eGFR 30-59 mL/min/1.73 m2) with or without albuminuria are at high CVD risk.</w:t>
      </w:r>
    </w:p>
    <w:p w:rsidR="00DC0D1E" w:rsidRPr="004620EC" w:rsidRDefault="00DC0D1E" w:rsidP="00DC0D1E">
      <w:pPr>
        <w:pStyle w:val="ListParagraph"/>
        <w:numPr>
          <w:ilvl w:val="0"/>
          <w:numId w:val="2"/>
        </w:numPr>
        <w:jc w:val="both"/>
        <w:rPr>
          <w:rFonts w:cstheme="minorHAnsi"/>
        </w:rPr>
      </w:pPr>
      <w:r w:rsidRPr="004620EC">
        <w:rPr>
          <w:rFonts w:cstheme="minorHAnsi"/>
        </w:rPr>
        <w:t xml:space="preserve">Estimate CVD risk using QRISK3 algorithm </w:t>
      </w:r>
      <w:hyperlink r:id="rId22" w:history="1">
        <w:r w:rsidRPr="004620EC">
          <w:rPr>
            <w:rStyle w:val="Hyperlink"/>
            <w:rFonts w:cstheme="minorHAnsi"/>
          </w:rPr>
          <w:t>https://qrisk.org/three/</w:t>
        </w:r>
      </w:hyperlink>
      <w:r w:rsidRPr="004620EC">
        <w:rPr>
          <w:rFonts w:cstheme="minorHAnsi"/>
        </w:rPr>
        <w:t xml:space="preserve"> on adults aged up to 84 years of age. </w:t>
      </w:r>
    </w:p>
    <w:p w:rsidR="00DC0D1E" w:rsidRPr="004620EC" w:rsidRDefault="00DC0D1E" w:rsidP="00DC0D1E">
      <w:pPr>
        <w:pStyle w:val="ListParagraph"/>
        <w:numPr>
          <w:ilvl w:val="0"/>
          <w:numId w:val="2"/>
        </w:numPr>
        <w:jc w:val="both"/>
        <w:rPr>
          <w:rFonts w:cstheme="minorHAnsi"/>
        </w:rPr>
      </w:pPr>
      <w:r w:rsidRPr="004620EC">
        <w:rPr>
          <w:rFonts w:cstheme="minorHAnsi"/>
        </w:rPr>
        <w:t xml:space="preserve">Document smoking status, diabetes status, family history of premature coronary artery disease, chronic kidney disease, therapy for hypertension, migraines, Systemic Lupus Erythematosus, regular glucocorticoid therapy, Rheumatoid arthritis, atrial fibrillation, atypical antipsychotics, erectile dysfunction, BMI and BP. </w:t>
      </w:r>
    </w:p>
    <w:p w:rsidR="00DC0D1E" w:rsidRPr="004620EC" w:rsidRDefault="00DC0D1E" w:rsidP="00DC0D1E">
      <w:pPr>
        <w:pStyle w:val="ListParagraph"/>
        <w:numPr>
          <w:ilvl w:val="0"/>
          <w:numId w:val="2"/>
        </w:numPr>
        <w:autoSpaceDE w:val="0"/>
        <w:autoSpaceDN w:val="0"/>
        <w:adjustRightInd w:val="0"/>
        <w:spacing w:after="0" w:line="240" w:lineRule="auto"/>
        <w:jc w:val="both"/>
        <w:rPr>
          <w:rFonts w:cstheme="minorHAnsi"/>
        </w:rPr>
      </w:pPr>
      <w:r w:rsidRPr="004620EC">
        <w:rPr>
          <w:rFonts w:cstheme="minorHAnsi"/>
          <w:b/>
        </w:rPr>
        <w:t>Do not use QRISK</w:t>
      </w:r>
      <w:r w:rsidRPr="004620EC">
        <w:rPr>
          <w:rFonts w:cstheme="minorHAnsi"/>
        </w:rPr>
        <w:t>:</w:t>
      </w:r>
    </w:p>
    <w:p w:rsidR="00DC0D1E" w:rsidRPr="004620EC" w:rsidRDefault="00DC0D1E" w:rsidP="00DC0D1E">
      <w:pPr>
        <w:pStyle w:val="ListParagraph"/>
        <w:numPr>
          <w:ilvl w:val="1"/>
          <w:numId w:val="2"/>
        </w:numPr>
        <w:autoSpaceDE w:val="0"/>
        <w:autoSpaceDN w:val="0"/>
        <w:adjustRightInd w:val="0"/>
        <w:spacing w:after="0" w:line="240" w:lineRule="auto"/>
        <w:jc w:val="both"/>
        <w:rPr>
          <w:rFonts w:cstheme="minorHAnsi"/>
        </w:rPr>
      </w:pPr>
      <w:r w:rsidRPr="004620EC">
        <w:rPr>
          <w:rFonts w:cstheme="minorHAnsi"/>
        </w:rPr>
        <w:t>Patients with Familial Hypercholesterolaemia or inherited disorders of lipid metabolism</w:t>
      </w:r>
    </w:p>
    <w:p w:rsidR="00DC0D1E" w:rsidRPr="004620EC" w:rsidRDefault="00DC0D1E" w:rsidP="00DC0D1E">
      <w:pPr>
        <w:pStyle w:val="ListParagraph"/>
        <w:numPr>
          <w:ilvl w:val="1"/>
          <w:numId w:val="2"/>
        </w:numPr>
        <w:autoSpaceDE w:val="0"/>
        <w:autoSpaceDN w:val="0"/>
        <w:adjustRightInd w:val="0"/>
        <w:spacing w:after="0" w:line="240" w:lineRule="auto"/>
        <w:jc w:val="both"/>
        <w:rPr>
          <w:rFonts w:eastAsia="ArialMT" w:cstheme="minorHAnsi"/>
        </w:rPr>
      </w:pPr>
      <w:r w:rsidRPr="004620EC">
        <w:rPr>
          <w:rFonts w:cstheme="minorHAnsi"/>
        </w:rPr>
        <w:t>P</w:t>
      </w:r>
      <w:r w:rsidRPr="004620EC">
        <w:rPr>
          <w:rFonts w:eastAsia="ArialMT" w:cstheme="minorHAnsi"/>
        </w:rPr>
        <w:t>atients with established CVD</w:t>
      </w:r>
    </w:p>
    <w:p w:rsidR="00DC0D1E" w:rsidRPr="004620EC" w:rsidRDefault="00DC0D1E" w:rsidP="00DC0D1E">
      <w:pPr>
        <w:pStyle w:val="ListParagraph"/>
        <w:numPr>
          <w:ilvl w:val="1"/>
          <w:numId w:val="2"/>
        </w:numPr>
        <w:autoSpaceDE w:val="0"/>
        <w:autoSpaceDN w:val="0"/>
        <w:adjustRightInd w:val="0"/>
        <w:spacing w:after="0" w:line="240" w:lineRule="auto"/>
        <w:jc w:val="both"/>
        <w:rPr>
          <w:rFonts w:eastAsia="ArialMT" w:cstheme="minorHAnsi"/>
        </w:rPr>
      </w:pPr>
      <w:r w:rsidRPr="004620EC">
        <w:rPr>
          <w:rFonts w:eastAsia="ArialMT" w:cstheme="minorHAnsi"/>
        </w:rPr>
        <w:t>Patients with type 1 diabetes, or eGFR less than 60 mL/min/1.73 m2 and/or albuminuria.</w:t>
      </w:r>
    </w:p>
    <w:p w:rsidR="00DC0D1E" w:rsidRPr="004620EC" w:rsidRDefault="00DC0D1E" w:rsidP="00DC0D1E">
      <w:pPr>
        <w:pStyle w:val="ListParagraph"/>
        <w:numPr>
          <w:ilvl w:val="1"/>
          <w:numId w:val="2"/>
        </w:numPr>
        <w:autoSpaceDE w:val="0"/>
        <w:autoSpaceDN w:val="0"/>
        <w:adjustRightInd w:val="0"/>
        <w:spacing w:after="0" w:line="240" w:lineRule="auto"/>
        <w:jc w:val="both"/>
        <w:rPr>
          <w:rFonts w:eastAsia="ArialMT" w:cstheme="minorHAnsi"/>
        </w:rPr>
      </w:pPr>
      <w:r w:rsidRPr="004620EC">
        <w:rPr>
          <w:rFonts w:eastAsia="ArialMT" w:cstheme="minorHAnsi"/>
        </w:rPr>
        <w:t>Patients aged ≥ 85 (at increased risk of CVD because of age alone particularly people who smoke or have raised BP).</w:t>
      </w:r>
    </w:p>
    <w:p w:rsidR="00DC0D1E" w:rsidRPr="004620EC" w:rsidRDefault="00DC0D1E" w:rsidP="00DC0D1E">
      <w:pPr>
        <w:pStyle w:val="ListParagraph"/>
        <w:numPr>
          <w:ilvl w:val="0"/>
          <w:numId w:val="2"/>
        </w:numPr>
        <w:jc w:val="both"/>
        <w:rPr>
          <w:rFonts w:cstheme="minorHAnsi"/>
        </w:rPr>
      </w:pPr>
      <w:r w:rsidRPr="004620EC">
        <w:rPr>
          <w:rFonts w:cstheme="minorHAnsi"/>
        </w:rPr>
        <w:t>Patients with CVD risk of ≥ 10% (QRISK-3) need an informed discussion to address modifiable risk factors including smoking cessation (if applicable), moderation of ethanol intake, low saturated fat intake in the diet and moderate physical activity (30-60 minutes each day). Use CVD risk tool (above) for further information.</w:t>
      </w:r>
    </w:p>
    <w:p w:rsidR="00DC0D1E" w:rsidRPr="004620EC" w:rsidRDefault="00DC0D1E" w:rsidP="00DC0D1E">
      <w:pPr>
        <w:pStyle w:val="ListParagraph"/>
        <w:numPr>
          <w:ilvl w:val="0"/>
          <w:numId w:val="2"/>
        </w:numPr>
        <w:jc w:val="both"/>
        <w:rPr>
          <w:rFonts w:cstheme="minorHAnsi"/>
        </w:rPr>
      </w:pPr>
      <w:r w:rsidRPr="004620EC">
        <w:rPr>
          <w:rFonts w:cstheme="minorHAnsi"/>
        </w:rPr>
        <w:t>If a patient is being considered for lipid lowering treatment, ensure the drug is appropriate to the individual patient, especially in elderly patients with polypharmacy, multiple co-morbidities or in women of childbearing potential.</w:t>
      </w:r>
    </w:p>
    <w:p w:rsidR="00DC0D1E" w:rsidRPr="004620EC" w:rsidRDefault="00DC0D1E" w:rsidP="00DC0D1E">
      <w:pPr>
        <w:pStyle w:val="ListParagraph"/>
        <w:numPr>
          <w:ilvl w:val="0"/>
          <w:numId w:val="2"/>
        </w:numPr>
        <w:jc w:val="both"/>
        <w:rPr>
          <w:rFonts w:cstheme="minorHAnsi"/>
        </w:rPr>
      </w:pPr>
      <w:r w:rsidRPr="004620EC">
        <w:rPr>
          <w:rFonts w:cstheme="minorHAnsi"/>
        </w:rPr>
        <w:t>If lifestyle modification is inappropriate or ineffective, commence Atorvastatin 20mg once daily. Counsel the patient that statin drugs are generally safe but, very rarely, they can cause muscle damage, so if they develop severe muscle aches or muscle weakness to discontinue all lipid-lowering drugs and seek medical advice.</w:t>
      </w:r>
    </w:p>
    <w:p w:rsidR="00DC0D1E" w:rsidRPr="004620EC" w:rsidRDefault="00DC0D1E" w:rsidP="00DC0D1E">
      <w:pPr>
        <w:pStyle w:val="ListParagraph"/>
        <w:numPr>
          <w:ilvl w:val="0"/>
          <w:numId w:val="2"/>
        </w:numPr>
        <w:jc w:val="both"/>
        <w:rPr>
          <w:rFonts w:cstheme="minorHAnsi"/>
        </w:rPr>
      </w:pPr>
      <w:r w:rsidRPr="004620EC">
        <w:rPr>
          <w:rFonts w:cstheme="minorHAnsi"/>
        </w:rPr>
        <w:t>Review concordance with lipid lowering therapy, dietary, lifestyle</w:t>
      </w:r>
      <w:r>
        <w:rPr>
          <w:rFonts w:cstheme="minorHAnsi"/>
        </w:rPr>
        <w:t xml:space="preserve"> changes and</w:t>
      </w:r>
      <w:r w:rsidRPr="004620EC">
        <w:rPr>
          <w:rFonts w:cstheme="minorHAnsi"/>
        </w:rPr>
        <w:t xml:space="preserve"> repeat lipid profile, and LFT’s in 3 months.</w:t>
      </w:r>
    </w:p>
    <w:p w:rsidR="00DC0D1E" w:rsidRPr="004620EC" w:rsidRDefault="00DC0D1E" w:rsidP="00DC0D1E">
      <w:pPr>
        <w:pStyle w:val="ListParagraph"/>
        <w:numPr>
          <w:ilvl w:val="0"/>
          <w:numId w:val="2"/>
        </w:numPr>
        <w:jc w:val="both"/>
        <w:rPr>
          <w:rFonts w:cstheme="minorHAnsi"/>
        </w:rPr>
      </w:pPr>
      <w:r w:rsidRPr="004620EC">
        <w:rPr>
          <w:rFonts w:cstheme="minorHAnsi"/>
        </w:rPr>
        <w:t>Titrate lipid lowering therapy (</w:t>
      </w:r>
      <w:r w:rsidRPr="004620EC">
        <w:rPr>
          <w:rFonts w:cstheme="minorHAnsi"/>
          <w:b/>
          <w:bCs/>
        </w:rPr>
        <w:t>Atorvastatin to 40 mg once daily ± Ezetimibe 10mg daily)</w:t>
      </w:r>
      <w:r w:rsidRPr="004620EC">
        <w:rPr>
          <w:rFonts w:cstheme="minorHAnsi"/>
        </w:rPr>
        <w:t xml:space="preserve"> to achieve Non-HDL C target of &gt;40% reduction from baseline in all patients except for patients with Familial Hypercholesterolaemia. Assess further response after 3 months.</w:t>
      </w:r>
    </w:p>
    <w:p w:rsidR="00DC0D1E" w:rsidRPr="004620EC" w:rsidRDefault="00DC0D1E" w:rsidP="00DC0D1E">
      <w:pPr>
        <w:pStyle w:val="ListParagraph"/>
        <w:numPr>
          <w:ilvl w:val="0"/>
          <w:numId w:val="2"/>
        </w:numPr>
        <w:jc w:val="both"/>
        <w:rPr>
          <w:rFonts w:cstheme="minorHAnsi"/>
        </w:rPr>
      </w:pPr>
      <w:r w:rsidRPr="004620EC">
        <w:rPr>
          <w:rFonts w:cstheme="minorHAnsi"/>
        </w:rPr>
        <w:t>For Patients with possible Familial Hypercholesterolaemia, consider referral to the Yorkshire and Humber FH service for FH genetic testing, if not done already.</w:t>
      </w:r>
    </w:p>
    <w:p w:rsidR="00DC0D1E" w:rsidRPr="004620EC" w:rsidRDefault="00DC0D1E" w:rsidP="00DC0D1E">
      <w:pPr>
        <w:pStyle w:val="ListParagraph"/>
        <w:numPr>
          <w:ilvl w:val="0"/>
          <w:numId w:val="2"/>
        </w:numPr>
        <w:jc w:val="both"/>
        <w:rPr>
          <w:rFonts w:cstheme="minorHAnsi"/>
        </w:rPr>
      </w:pPr>
      <w:r w:rsidRPr="004620EC">
        <w:rPr>
          <w:rFonts w:cstheme="minorHAnsi"/>
        </w:rPr>
        <w:t xml:space="preserve"> In patients with Familial Hypercholesterolaemia, LDL-C target is &gt;50% reduction from baseline. Titrate </w:t>
      </w:r>
      <w:r w:rsidRPr="004620EC">
        <w:rPr>
          <w:rFonts w:cstheme="minorHAnsi"/>
          <w:b/>
          <w:bCs/>
        </w:rPr>
        <w:t>Atorvastatin to 40 mg once daily ± Ezetimibe 10mg daily</w:t>
      </w:r>
      <w:r w:rsidRPr="004620EC">
        <w:rPr>
          <w:rFonts w:cstheme="minorHAnsi"/>
        </w:rPr>
        <w:t>. Assess response after 3 months.</w:t>
      </w:r>
    </w:p>
    <w:p w:rsidR="00DC0D1E" w:rsidRPr="004620EC" w:rsidRDefault="00DC0D1E" w:rsidP="00DC0D1E">
      <w:pPr>
        <w:pStyle w:val="ListParagraph"/>
        <w:numPr>
          <w:ilvl w:val="0"/>
          <w:numId w:val="2"/>
        </w:numPr>
        <w:jc w:val="both"/>
        <w:rPr>
          <w:rFonts w:cstheme="minorHAnsi"/>
        </w:rPr>
      </w:pPr>
      <w:r w:rsidRPr="004620EC">
        <w:rPr>
          <w:rFonts w:cstheme="minorHAnsi"/>
        </w:rPr>
        <w:t>In patients with Familial Hypercholesterolaemia,</w:t>
      </w:r>
      <w:r>
        <w:rPr>
          <w:rFonts w:cstheme="minorHAnsi"/>
        </w:rPr>
        <w:t xml:space="preserve"> i</w:t>
      </w:r>
      <w:r w:rsidRPr="004620EC">
        <w:rPr>
          <w:rFonts w:cstheme="minorHAnsi"/>
        </w:rPr>
        <w:t>f LDL-C</w:t>
      </w:r>
      <w:r>
        <w:rPr>
          <w:rFonts w:cstheme="minorHAnsi"/>
        </w:rPr>
        <w:t xml:space="preserve"> is ≥ 5mmol/L</w:t>
      </w:r>
      <w:r w:rsidRPr="004620EC">
        <w:rPr>
          <w:rFonts w:cstheme="minorHAnsi"/>
        </w:rPr>
        <w:t xml:space="preserve"> despite maximal tolerated lipid lowering therapy (statins ± Ezetimibe), refer to lipid clinic for consideration of </w:t>
      </w:r>
      <w:r w:rsidRPr="004620EC">
        <w:rPr>
          <w:rFonts w:cstheme="minorHAnsi"/>
          <w:b/>
          <w:bCs/>
        </w:rPr>
        <w:t>PCSK9 inhibitors</w:t>
      </w:r>
      <w:r w:rsidRPr="004620EC">
        <w:rPr>
          <w:rFonts w:cstheme="minorHAnsi"/>
        </w:rPr>
        <w:t xml:space="preserve">. </w:t>
      </w:r>
    </w:p>
    <w:p w:rsidR="00DC0D1E" w:rsidRDefault="00DC0D1E" w:rsidP="00DC0D1E">
      <w:pPr>
        <w:pStyle w:val="ListParagraph"/>
        <w:numPr>
          <w:ilvl w:val="0"/>
          <w:numId w:val="2"/>
        </w:numPr>
        <w:jc w:val="both"/>
        <w:rPr>
          <w:rFonts w:cstheme="minorHAnsi"/>
        </w:rPr>
      </w:pPr>
      <w:r w:rsidRPr="004620EC">
        <w:rPr>
          <w:rFonts w:cstheme="minorHAnsi"/>
        </w:rPr>
        <w:t xml:space="preserve">Do not routinely measure CK activity unless the patients in symptomatic or has muscle pain before initiation of statin therapy. </w:t>
      </w:r>
    </w:p>
    <w:p w:rsidR="00DC0D1E" w:rsidRPr="004620EC" w:rsidRDefault="00DC0D1E" w:rsidP="00DC0D1E">
      <w:pPr>
        <w:pStyle w:val="ListParagraph"/>
        <w:jc w:val="both"/>
        <w:rPr>
          <w:rFonts w:cstheme="minorHAnsi"/>
        </w:rPr>
      </w:pPr>
    </w:p>
    <w:p w:rsidR="00DC0D1E" w:rsidRPr="004620EC" w:rsidRDefault="00DC0D1E" w:rsidP="00DC0D1E">
      <w:pPr>
        <w:ind w:left="360"/>
        <w:jc w:val="both"/>
        <w:rPr>
          <w:rFonts w:cstheme="minorHAnsi"/>
          <w:b/>
          <w:sz w:val="36"/>
          <w:szCs w:val="36"/>
        </w:rPr>
      </w:pPr>
      <w:r w:rsidRPr="004620EC">
        <w:rPr>
          <w:rFonts w:cstheme="minorHAnsi"/>
          <w:b/>
          <w:sz w:val="36"/>
          <w:szCs w:val="36"/>
          <w:lang w:val="en-US"/>
        </w:rPr>
        <w:t>Secondary prevention of CVD</w:t>
      </w:r>
    </w:p>
    <w:p w:rsidR="00DC0D1E" w:rsidRPr="004620EC" w:rsidRDefault="00DC0D1E" w:rsidP="00DC0D1E">
      <w:pPr>
        <w:pStyle w:val="ListParagraph"/>
        <w:numPr>
          <w:ilvl w:val="0"/>
          <w:numId w:val="2"/>
        </w:numPr>
        <w:jc w:val="both"/>
        <w:rPr>
          <w:rFonts w:cstheme="minorHAnsi"/>
          <w:lang w:val="en-US"/>
        </w:rPr>
      </w:pPr>
      <w:r w:rsidRPr="004620EC">
        <w:rPr>
          <w:rFonts w:cstheme="minorHAnsi"/>
          <w:lang w:val="en-US"/>
        </w:rPr>
        <w:t>This category includes all patients with clinical Atherosclerosis e.g. Myocardial Infarction, Acute Coronary Syndrome, Angina, Stroke, Transient Ischaemic Attack, Peripheral Vascular Disease inclusive of revascularisation procedures, Abdominal aortic aneurysm including surgery.</w:t>
      </w:r>
    </w:p>
    <w:p w:rsidR="00DC0D1E" w:rsidRPr="004620EC" w:rsidRDefault="00DC0D1E" w:rsidP="00DC0D1E">
      <w:pPr>
        <w:pStyle w:val="ListParagraph"/>
        <w:numPr>
          <w:ilvl w:val="0"/>
          <w:numId w:val="2"/>
        </w:numPr>
        <w:jc w:val="both"/>
        <w:rPr>
          <w:rFonts w:cstheme="minorHAnsi"/>
        </w:rPr>
      </w:pPr>
      <w:r w:rsidRPr="004620EC">
        <w:rPr>
          <w:rFonts w:cstheme="minorHAnsi"/>
        </w:rPr>
        <w:t xml:space="preserve">Start High intensity statins in all patients with Acute Coronary syndrome as early as possible, regardless of initial LDL-C values, unless there are any contraindications or intolerance. </w:t>
      </w:r>
    </w:p>
    <w:p w:rsidR="00DC0D1E" w:rsidRPr="004620EC" w:rsidRDefault="00DC0D1E" w:rsidP="00DC0D1E">
      <w:pPr>
        <w:pStyle w:val="ListParagraph"/>
        <w:numPr>
          <w:ilvl w:val="0"/>
          <w:numId w:val="2"/>
        </w:numPr>
        <w:jc w:val="both"/>
        <w:rPr>
          <w:rFonts w:cstheme="minorHAnsi"/>
        </w:rPr>
      </w:pPr>
      <w:r w:rsidRPr="004620EC">
        <w:rPr>
          <w:rFonts w:cstheme="minorHAnsi"/>
        </w:rPr>
        <w:t xml:space="preserve">Consider addition of ezetimibe 10 mg once daily after repeat lipid profile in 2-3 months, in all patients with ACS not treated to </w:t>
      </w:r>
      <w:r w:rsidRPr="004620EC">
        <w:rPr>
          <w:rFonts w:cstheme="minorHAnsi"/>
          <w:b/>
        </w:rPr>
        <w:t>LDL-C target</w:t>
      </w:r>
      <w:r w:rsidRPr="004620EC">
        <w:rPr>
          <w:rFonts w:cstheme="minorHAnsi"/>
        </w:rPr>
        <w:t xml:space="preserve"> </w:t>
      </w:r>
      <w:r w:rsidRPr="004620EC">
        <w:rPr>
          <w:rFonts w:cstheme="minorHAnsi"/>
          <w:b/>
        </w:rPr>
        <w:t>of ≤ 1.8 mmol/L</w:t>
      </w:r>
      <w:r w:rsidRPr="004620EC">
        <w:rPr>
          <w:rFonts w:cstheme="minorHAnsi"/>
        </w:rPr>
        <w:t>, despite maximal tolerated dose of statins.</w:t>
      </w:r>
    </w:p>
    <w:p w:rsidR="00DC0D1E" w:rsidRPr="004620EC" w:rsidRDefault="00DC0D1E" w:rsidP="00DC0D1E">
      <w:pPr>
        <w:pStyle w:val="ListParagraph"/>
        <w:numPr>
          <w:ilvl w:val="0"/>
          <w:numId w:val="2"/>
        </w:numPr>
        <w:jc w:val="both"/>
        <w:rPr>
          <w:rFonts w:cstheme="minorHAnsi"/>
        </w:rPr>
      </w:pPr>
      <w:r w:rsidRPr="004620EC">
        <w:rPr>
          <w:rFonts w:cstheme="minorHAnsi"/>
        </w:rPr>
        <w:t xml:space="preserve">Refer to lipid clinic for </w:t>
      </w:r>
      <w:r w:rsidRPr="004620EC">
        <w:rPr>
          <w:rFonts w:cstheme="minorHAnsi"/>
          <w:b/>
        </w:rPr>
        <w:t xml:space="preserve">PCSK9 </w:t>
      </w:r>
      <w:r w:rsidRPr="004620EC">
        <w:rPr>
          <w:rFonts w:cstheme="minorHAnsi"/>
          <w:b/>
          <w:bCs/>
        </w:rPr>
        <w:t>inhibitors</w:t>
      </w:r>
      <w:r w:rsidRPr="004620EC">
        <w:rPr>
          <w:rFonts w:cstheme="minorHAnsi"/>
        </w:rPr>
        <w:t xml:space="preserve"> initiation</w:t>
      </w:r>
      <w:r w:rsidRPr="004620EC">
        <w:rPr>
          <w:rFonts w:cstheme="minorHAnsi"/>
          <w:b/>
          <w:bCs/>
        </w:rPr>
        <w:t xml:space="preserve"> if:</w:t>
      </w:r>
    </w:p>
    <w:p w:rsidR="00DC0D1E" w:rsidRPr="004620EC" w:rsidRDefault="00DC0D1E" w:rsidP="00DC0D1E">
      <w:pPr>
        <w:pStyle w:val="ListParagraph"/>
        <w:numPr>
          <w:ilvl w:val="1"/>
          <w:numId w:val="2"/>
        </w:numPr>
        <w:jc w:val="both"/>
        <w:rPr>
          <w:rFonts w:cstheme="minorHAnsi"/>
          <w:b/>
        </w:rPr>
      </w:pPr>
      <w:r w:rsidRPr="004620EC">
        <w:rPr>
          <w:rFonts w:cstheme="minorHAnsi"/>
        </w:rPr>
        <w:t>LDL –Cholesterol is persistently elevated ≥ 4mmol/L in patients at high risk of CVD and ≥ 3.5 mmol/L if at very high risk of CVD, despite maximal tolerated lipid lowering therapy (statins ± Ezetimibe).</w:t>
      </w:r>
    </w:p>
    <w:p w:rsidR="00DC0D1E" w:rsidRPr="004620EC" w:rsidRDefault="00DC0D1E" w:rsidP="00DC0D1E">
      <w:pPr>
        <w:pStyle w:val="ListParagraph"/>
        <w:numPr>
          <w:ilvl w:val="1"/>
          <w:numId w:val="2"/>
        </w:numPr>
        <w:jc w:val="both"/>
        <w:rPr>
          <w:rFonts w:cstheme="minorHAnsi"/>
          <w:b/>
        </w:rPr>
      </w:pPr>
      <w:r w:rsidRPr="004620EC">
        <w:rPr>
          <w:rFonts w:cstheme="minorHAnsi"/>
        </w:rPr>
        <w:t xml:space="preserve">High risk CVD is defined as a history of any of the following: acute coronary syndrome (such as myocardial infarction or unstable angina needing hospitalisation); coronary or other arterial revascularisation procedures; chronic heart disease; ischaemic stroke; peripheral arterial disease. </w:t>
      </w:r>
    </w:p>
    <w:p w:rsidR="00DC0D1E" w:rsidRPr="004620EC" w:rsidRDefault="00DC0D1E" w:rsidP="00DC0D1E">
      <w:pPr>
        <w:pStyle w:val="ListParagraph"/>
        <w:numPr>
          <w:ilvl w:val="1"/>
          <w:numId w:val="2"/>
        </w:numPr>
        <w:jc w:val="both"/>
        <w:rPr>
          <w:rFonts w:cstheme="minorHAnsi"/>
          <w:b/>
        </w:rPr>
      </w:pPr>
      <w:r w:rsidRPr="004620EC">
        <w:rPr>
          <w:rFonts w:cstheme="minorHAnsi"/>
        </w:rPr>
        <w:t>Very high risk of CVD is defined as recurrent cardiovascular events or cardiovascular events in more than 1 vascular bed (poly vascular disease).</w:t>
      </w:r>
    </w:p>
    <w:p w:rsidR="00DC0D1E" w:rsidRDefault="00DC0D1E" w:rsidP="00DC0D1E">
      <w:pPr>
        <w:pStyle w:val="ListParagraph"/>
        <w:numPr>
          <w:ilvl w:val="1"/>
          <w:numId w:val="2"/>
        </w:numPr>
        <w:jc w:val="both"/>
        <w:rPr>
          <w:rFonts w:cstheme="minorHAnsi"/>
        </w:rPr>
      </w:pPr>
      <w:r w:rsidRPr="004620EC">
        <w:rPr>
          <w:rFonts w:cstheme="minorHAnsi"/>
        </w:rPr>
        <w:t xml:space="preserve">Current lipid lowering therapy (statin </w:t>
      </w:r>
      <w:r w:rsidRPr="004620EC">
        <w:rPr>
          <w:rFonts w:cstheme="minorHAnsi"/>
          <w:bCs/>
        </w:rPr>
        <w:t>± Ezetimibe 10mg daily)</w:t>
      </w:r>
      <w:r w:rsidRPr="004620EC">
        <w:rPr>
          <w:rFonts w:cstheme="minorHAnsi"/>
        </w:rPr>
        <w:t xml:space="preserve"> should continue with PCSK9I therapy.</w:t>
      </w:r>
    </w:p>
    <w:p w:rsidR="00DC0D1E" w:rsidRPr="004620EC" w:rsidRDefault="00DC0D1E" w:rsidP="00DC0D1E">
      <w:pPr>
        <w:pStyle w:val="ListParagraph"/>
        <w:ind w:left="1440"/>
        <w:jc w:val="both"/>
        <w:rPr>
          <w:rFonts w:cstheme="minorHAnsi"/>
        </w:rPr>
      </w:pPr>
    </w:p>
    <w:p w:rsidR="00DC0D1E" w:rsidRPr="004620EC" w:rsidRDefault="00DC0D1E" w:rsidP="00DC0D1E">
      <w:pPr>
        <w:pStyle w:val="ListParagraph"/>
        <w:numPr>
          <w:ilvl w:val="0"/>
          <w:numId w:val="2"/>
        </w:numPr>
        <w:jc w:val="both"/>
        <w:rPr>
          <w:rFonts w:cstheme="minorHAnsi"/>
        </w:rPr>
      </w:pPr>
      <w:r>
        <w:rPr>
          <w:rFonts w:cstheme="minorHAnsi"/>
        </w:rPr>
        <w:t>Initiate</w:t>
      </w:r>
      <w:r w:rsidRPr="004620EC">
        <w:rPr>
          <w:rFonts w:cstheme="minorHAnsi"/>
          <w:b/>
        </w:rPr>
        <w:t xml:space="preserve"> Inclisiran </w:t>
      </w:r>
      <w:r w:rsidRPr="00CC1772">
        <w:rPr>
          <w:rFonts w:cstheme="minorHAnsi"/>
        </w:rPr>
        <w:t>if:</w:t>
      </w:r>
    </w:p>
    <w:p w:rsidR="00DC0D1E" w:rsidRPr="004620EC" w:rsidRDefault="00DC0D1E" w:rsidP="00DC0D1E">
      <w:pPr>
        <w:pStyle w:val="ListParagraph"/>
        <w:numPr>
          <w:ilvl w:val="1"/>
          <w:numId w:val="2"/>
        </w:numPr>
        <w:jc w:val="both"/>
        <w:rPr>
          <w:rFonts w:cstheme="minorHAnsi"/>
        </w:rPr>
      </w:pPr>
      <w:r w:rsidRPr="004620EC">
        <w:rPr>
          <w:rFonts w:cstheme="minorHAnsi"/>
        </w:rPr>
        <w:t>LDL-C ≥ 2.6 mmol/L (Non-HDL-C ≥ 3.5mmol/L), despite maximal tolerated lipid lowering therapy (statins ± Ezetimibe).</w:t>
      </w:r>
    </w:p>
    <w:p w:rsidR="00DC0D1E" w:rsidRDefault="00DC0D1E" w:rsidP="00DC0D1E">
      <w:pPr>
        <w:pStyle w:val="ListParagraph"/>
        <w:numPr>
          <w:ilvl w:val="1"/>
          <w:numId w:val="2"/>
        </w:numPr>
        <w:jc w:val="both"/>
        <w:rPr>
          <w:rFonts w:cstheme="minorHAnsi"/>
        </w:rPr>
      </w:pPr>
      <w:r w:rsidRPr="004620EC">
        <w:rPr>
          <w:rFonts w:cstheme="minorHAnsi"/>
        </w:rPr>
        <w:t xml:space="preserve">Current lipid lowering therapy (statin </w:t>
      </w:r>
      <w:r w:rsidRPr="004620EC">
        <w:rPr>
          <w:rFonts w:cstheme="minorHAnsi"/>
          <w:bCs/>
        </w:rPr>
        <w:t>± Ezetimibe 10mg daily)</w:t>
      </w:r>
      <w:r w:rsidRPr="004620EC">
        <w:rPr>
          <w:rFonts w:cstheme="minorHAnsi"/>
        </w:rPr>
        <w:t xml:space="preserve"> should continue with Inclisiran therapy</w:t>
      </w:r>
    </w:p>
    <w:p w:rsidR="00DC0D1E" w:rsidRPr="004620EC" w:rsidRDefault="00DC0D1E" w:rsidP="00DC0D1E">
      <w:pPr>
        <w:pStyle w:val="ListParagraph"/>
        <w:ind w:left="1440"/>
        <w:jc w:val="both"/>
        <w:rPr>
          <w:rFonts w:cstheme="minorHAnsi"/>
        </w:rPr>
      </w:pPr>
    </w:p>
    <w:p w:rsidR="00DC0D1E" w:rsidRPr="00B223E5" w:rsidRDefault="00DC0D1E" w:rsidP="00DC0D1E">
      <w:pPr>
        <w:pStyle w:val="ListParagraph"/>
        <w:numPr>
          <w:ilvl w:val="0"/>
          <w:numId w:val="2"/>
        </w:numPr>
        <w:jc w:val="both"/>
        <w:rPr>
          <w:rFonts w:cstheme="minorHAnsi"/>
        </w:rPr>
      </w:pPr>
      <w:r>
        <w:rPr>
          <w:rFonts w:cstheme="minorHAnsi"/>
        </w:rPr>
        <w:t>Initiate</w:t>
      </w:r>
      <w:r w:rsidRPr="004620EC">
        <w:rPr>
          <w:rFonts w:cstheme="minorHAnsi"/>
        </w:rPr>
        <w:t xml:space="preserve"> </w:t>
      </w:r>
      <w:r w:rsidRPr="004620EC">
        <w:rPr>
          <w:rFonts w:cstheme="minorHAnsi"/>
          <w:b/>
        </w:rPr>
        <w:t>I</w:t>
      </w:r>
      <w:r>
        <w:rPr>
          <w:rFonts w:cstheme="minorHAnsi"/>
          <w:b/>
        </w:rPr>
        <w:t>cosapent ethyl</w:t>
      </w:r>
      <w:r w:rsidRPr="004620EC">
        <w:rPr>
          <w:rFonts w:cstheme="minorHAnsi"/>
          <w:b/>
        </w:rPr>
        <w:t xml:space="preserve"> </w:t>
      </w:r>
      <w:r w:rsidRPr="00CC1772">
        <w:rPr>
          <w:rFonts w:cstheme="minorHAnsi"/>
        </w:rPr>
        <w:t>if:</w:t>
      </w:r>
    </w:p>
    <w:p w:rsidR="00DC0D1E" w:rsidRDefault="00DC0D1E" w:rsidP="00DC0D1E">
      <w:pPr>
        <w:pStyle w:val="ListParagraph"/>
        <w:numPr>
          <w:ilvl w:val="1"/>
          <w:numId w:val="2"/>
        </w:numPr>
        <w:jc w:val="both"/>
        <w:rPr>
          <w:rFonts w:cstheme="minorHAnsi"/>
        </w:rPr>
      </w:pPr>
      <w:r>
        <w:rPr>
          <w:rFonts w:cstheme="minorHAnsi"/>
        </w:rPr>
        <w:t>F</w:t>
      </w:r>
      <w:r w:rsidRPr="00B223E5">
        <w:rPr>
          <w:rFonts w:cstheme="minorHAnsi"/>
        </w:rPr>
        <w:t>as</w:t>
      </w:r>
      <w:r>
        <w:rPr>
          <w:rFonts w:cstheme="minorHAnsi"/>
        </w:rPr>
        <w:t xml:space="preserve">ting triglycerides ≥1.7 mmol/L and &lt;5.6 mmo/L </w:t>
      </w:r>
      <w:r w:rsidRPr="00B223E5">
        <w:rPr>
          <w:rFonts w:cstheme="minorHAnsi"/>
        </w:rPr>
        <w:t xml:space="preserve">on </w:t>
      </w:r>
      <w:r>
        <w:rPr>
          <w:rFonts w:cstheme="minorHAnsi"/>
        </w:rPr>
        <w:t xml:space="preserve">maximal tolerated </w:t>
      </w:r>
      <w:r w:rsidRPr="00B223E5">
        <w:rPr>
          <w:rFonts w:cstheme="minorHAnsi"/>
        </w:rPr>
        <w:t xml:space="preserve">statin </w:t>
      </w:r>
      <w:r>
        <w:rPr>
          <w:rFonts w:cstheme="minorHAnsi"/>
        </w:rPr>
        <w:t xml:space="preserve">therapy </w:t>
      </w:r>
      <w:r w:rsidRPr="00B223E5">
        <w:rPr>
          <w:rFonts w:cstheme="minorHAnsi"/>
        </w:rPr>
        <w:t xml:space="preserve">and if LDL is </w:t>
      </w:r>
      <w:r>
        <w:rPr>
          <w:rFonts w:cstheme="minorHAnsi"/>
        </w:rPr>
        <w:t xml:space="preserve">between </w:t>
      </w:r>
      <w:r w:rsidRPr="00B223E5">
        <w:rPr>
          <w:rFonts w:cstheme="minorHAnsi"/>
        </w:rPr>
        <w:t>1  mmol/L and &lt;2.6 mmol/L</w:t>
      </w:r>
    </w:p>
    <w:p w:rsidR="00DC0D1E" w:rsidRDefault="00DC0D1E" w:rsidP="00DC0D1E">
      <w:pPr>
        <w:pStyle w:val="ListParagraph"/>
        <w:numPr>
          <w:ilvl w:val="1"/>
          <w:numId w:val="2"/>
        </w:numPr>
        <w:jc w:val="both"/>
        <w:rPr>
          <w:rFonts w:cstheme="minorHAnsi"/>
        </w:rPr>
      </w:pPr>
      <w:r>
        <w:rPr>
          <w:rFonts w:cstheme="minorHAnsi"/>
        </w:rPr>
        <w:t xml:space="preserve">Statin therapy should continue with </w:t>
      </w:r>
      <w:r w:rsidRPr="00B223E5">
        <w:rPr>
          <w:rFonts w:cstheme="minorHAnsi"/>
        </w:rPr>
        <w:t>Icosapent ethyl</w:t>
      </w:r>
      <w:r>
        <w:rPr>
          <w:rFonts w:cstheme="minorHAnsi"/>
        </w:rPr>
        <w:t>.</w:t>
      </w:r>
    </w:p>
    <w:p w:rsidR="00DC0D1E" w:rsidRPr="00153E7A" w:rsidRDefault="00DC0D1E" w:rsidP="00153E7A">
      <w:pPr>
        <w:pStyle w:val="ListParagraph"/>
        <w:numPr>
          <w:ilvl w:val="1"/>
          <w:numId w:val="2"/>
        </w:numPr>
        <w:jc w:val="both"/>
        <w:rPr>
          <w:rFonts w:cstheme="minorHAnsi"/>
        </w:rPr>
      </w:pPr>
      <w:r>
        <w:t>Icosapent ethyl is obtained from the oil of fish. It is not known whether patients with allergies to fish and/or shellfish are at increased risk of an allergic reaction to Icosapent ethyl. Icosapent ethyl should be used with caution in patients with known hypersensitivity to fish and/or shellfish. In patients with hepatic impairment, alanine aminotransferase (ALT) concentration should be monitored as clinically indicated before the start of treatment and at appropriate intervals during treatment. Icosapent ethyl was associated with an increased risk of atrial fibrillation or flutter requiring hospitalisation in a double-blind placebo-controlled trial. The incidence of atrial fibrillation was greater in patients with a previous history of atrial fibrillation or flutter. Patients, particularly those with a relevant medical history, should be monitored for clinical evidence of atrial fibrillation or atrial flutter (e.g., dyspnoea, palpitations, syncope/dizziness, chest discomfort, change in blood pressure, or irregular pulse). Electrocardiographic evaluation should be performed when clinically indicated. Treatment with Icosapent ethyl has been associated with an increased incidence of bleeding. Patients taking Icosapent ethyl along with antithrombotic agents, i.e., antiplatelet agents, including aspirin, clopidogrel and/or anticoagulants, may be at increased risk of bleeding and should be monitored periodically.</w:t>
      </w:r>
    </w:p>
    <w:p w:rsidR="00DC0D1E" w:rsidRPr="004620EC" w:rsidRDefault="00DC0D1E" w:rsidP="00DC0D1E">
      <w:pPr>
        <w:ind w:left="360"/>
        <w:jc w:val="both"/>
        <w:rPr>
          <w:rFonts w:cstheme="minorHAnsi"/>
          <w:b/>
          <w:sz w:val="36"/>
          <w:szCs w:val="36"/>
        </w:rPr>
      </w:pPr>
      <w:r w:rsidRPr="004620EC">
        <w:rPr>
          <w:rFonts w:cstheme="minorHAnsi"/>
          <w:b/>
          <w:sz w:val="36"/>
          <w:szCs w:val="36"/>
        </w:rPr>
        <w:t>Statin intolerance</w:t>
      </w:r>
    </w:p>
    <w:p w:rsidR="00DC0D1E" w:rsidRPr="004620EC" w:rsidRDefault="00DC0D1E" w:rsidP="00DC0D1E">
      <w:pPr>
        <w:pStyle w:val="ListParagraph"/>
        <w:numPr>
          <w:ilvl w:val="0"/>
          <w:numId w:val="3"/>
        </w:numPr>
        <w:jc w:val="both"/>
        <w:rPr>
          <w:rFonts w:cstheme="minorHAnsi"/>
        </w:rPr>
      </w:pPr>
      <w:r w:rsidRPr="004620EC">
        <w:rPr>
          <w:rFonts w:cstheme="minorHAnsi"/>
        </w:rPr>
        <w:t>In patients with intolerance or side effects to Atorvastatin therapy, see AAC Statin Intolerance Algorithm for advice regarding adverse effects.</w:t>
      </w:r>
    </w:p>
    <w:p w:rsidR="00DC0D1E" w:rsidRPr="004620EC" w:rsidRDefault="008D675D" w:rsidP="00DC0D1E">
      <w:pPr>
        <w:ind w:left="360"/>
        <w:jc w:val="both"/>
        <w:rPr>
          <w:rFonts w:cstheme="minorHAnsi"/>
        </w:rPr>
      </w:pPr>
      <w:hyperlink r:id="rId23" w:history="1">
        <w:r w:rsidR="00DC0D1E" w:rsidRPr="004620EC">
          <w:rPr>
            <w:rStyle w:val="Hyperlink"/>
            <w:rFonts w:cstheme="minorHAnsi"/>
          </w:rPr>
          <w:t>https://www.england.nhs.uk/aac/wp-content/uploads/sites/50/2020/08/Statin-Intolerance-Pathway-NEW.pdf</w:t>
        </w:r>
      </w:hyperlink>
    </w:p>
    <w:p w:rsidR="00DC0D1E" w:rsidRPr="004620EC" w:rsidRDefault="00DC0D1E" w:rsidP="00DC0D1E">
      <w:pPr>
        <w:pStyle w:val="ListParagraph"/>
        <w:numPr>
          <w:ilvl w:val="0"/>
          <w:numId w:val="3"/>
        </w:numPr>
        <w:jc w:val="both"/>
        <w:rPr>
          <w:rFonts w:cstheme="minorHAnsi"/>
        </w:rPr>
      </w:pPr>
      <w:r w:rsidRPr="004620EC">
        <w:rPr>
          <w:rFonts w:cstheme="minorHAnsi"/>
        </w:rPr>
        <w:t xml:space="preserve">Consider </w:t>
      </w:r>
      <w:r w:rsidRPr="004620EC">
        <w:rPr>
          <w:rFonts w:cstheme="minorHAnsi"/>
          <w:bCs/>
        </w:rPr>
        <w:t xml:space="preserve">Ezetimibe 10mg daily </w:t>
      </w:r>
      <w:r w:rsidRPr="004620EC">
        <w:rPr>
          <w:rFonts w:cstheme="minorHAnsi"/>
        </w:rPr>
        <w:t>monotherapy (or in addition to maximal tolerated dose of statins). Assess response after 3 months.</w:t>
      </w:r>
    </w:p>
    <w:p w:rsidR="00DC0D1E" w:rsidRPr="004620EC" w:rsidRDefault="00DC0D1E" w:rsidP="00DC0D1E">
      <w:pPr>
        <w:pStyle w:val="ListParagraph"/>
        <w:numPr>
          <w:ilvl w:val="0"/>
          <w:numId w:val="3"/>
        </w:numPr>
        <w:jc w:val="both"/>
        <w:rPr>
          <w:rFonts w:cstheme="minorHAnsi"/>
        </w:rPr>
      </w:pPr>
      <w:r w:rsidRPr="004620EC">
        <w:rPr>
          <w:rFonts w:cstheme="minorHAnsi"/>
        </w:rPr>
        <w:t xml:space="preserve">Consider </w:t>
      </w:r>
      <w:r w:rsidRPr="004620EC">
        <w:rPr>
          <w:rFonts w:cstheme="minorHAnsi"/>
          <w:bCs/>
        </w:rPr>
        <w:t xml:space="preserve">referral to lipid clinic for initiation of </w:t>
      </w:r>
      <w:r w:rsidRPr="004548F1">
        <w:rPr>
          <w:rFonts w:cstheme="minorHAnsi"/>
          <w:b/>
          <w:bCs/>
        </w:rPr>
        <w:t>Bempedoic acid 180 mg daily</w:t>
      </w:r>
      <w:r w:rsidRPr="004620EC">
        <w:rPr>
          <w:rFonts w:cstheme="minorHAnsi"/>
          <w:bCs/>
        </w:rPr>
        <w:t xml:space="preserve"> in combination with Ezetimibe 10 mg daily</w:t>
      </w:r>
      <w:r w:rsidRPr="004620EC">
        <w:rPr>
          <w:rFonts w:cstheme="minorHAnsi"/>
          <w:b/>
          <w:bCs/>
        </w:rPr>
        <w:t xml:space="preserve"> </w:t>
      </w:r>
      <w:r w:rsidRPr="004620EC">
        <w:rPr>
          <w:rFonts w:cstheme="minorHAnsi"/>
        </w:rPr>
        <w:t>when ezetimibe monotherapy does not achieve treatment targets. Assess response after 3 months.</w:t>
      </w:r>
    </w:p>
    <w:p w:rsidR="00DC0D1E" w:rsidRPr="004620EC" w:rsidRDefault="00DC0D1E" w:rsidP="00DC0D1E">
      <w:pPr>
        <w:pStyle w:val="ListParagraph"/>
        <w:numPr>
          <w:ilvl w:val="0"/>
          <w:numId w:val="3"/>
        </w:numPr>
        <w:jc w:val="both"/>
        <w:rPr>
          <w:rFonts w:cstheme="minorHAnsi"/>
        </w:rPr>
      </w:pPr>
      <w:r w:rsidRPr="004620EC">
        <w:rPr>
          <w:rFonts w:cstheme="minorHAnsi"/>
        </w:rPr>
        <w:t xml:space="preserve">In patients with Familial Hypercholesterolaemia for primary prevention of CVD, with statin intolerance, if LDL-C ≥ 5mmol/L, despite maximal tolerated lipid lowering therapy (statins ± Ezetimibe), consider referral to lipid clinic for </w:t>
      </w:r>
      <w:r w:rsidRPr="004620EC">
        <w:rPr>
          <w:rFonts w:cstheme="minorHAnsi"/>
          <w:b/>
          <w:bCs/>
        </w:rPr>
        <w:t>PCSK9 inhibitors initiation.</w:t>
      </w:r>
      <w:r w:rsidRPr="004620EC">
        <w:rPr>
          <w:rFonts w:cstheme="minorHAnsi"/>
        </w:rPr>
        <w:t xml:space="preserve"> </w:t>
      </w:r>
    </w:p>
    <w:p w:rsidR="00DC0D1E" w:rsidRPr="00153E7A" w:rsidRDefault="00DC0D1E" w:rsidP="00DC0D1E">
      <w:pPr>
        <w:pStyle w:val="ListParagraph"/>
        <w:numPr>
          <w:ilvl w:val="0"/>
          <w:numId w:val="3"/>
        </w:numPr>
        <w:jc w:val="both"/>
        <w:rPr>
          <w:rFonts w:cstheme="minorHAnsi"/>
        </w:rPr>
      </w:pPr>
      <w:r w:rsidRPr="004620EC">
        <w:rPr>
          <w:rFonts w:cstheme="minorHAnsi"/>
        </w:rPr>
        <w:t xml:space="preserve">For secondary CVD prevention with statin intolerance, refer to lipid clinic for </w:t>
      </w:r>
      <w:r w:rsidRPr="004620EC">
        <w:rPr>
          <w:rFonts w:cstheme="minorHAnsi"/>
          <w:b/>
        </w:rPr>
        <w:t xml:space="preserve">PCSK9 </w:t>
      </w:r>
      <w:r w:rsidRPr="004620EC">
        <w:rPr>
          <w:rFonts w:cstheme="minorHAnsi"/>
          <w:b/>
          <w:bCs/>
        </w:rPr>
        <w:t>inhibitors</w:t>
      </w:r>
      <w:r w:rsidRPr="004620EC">
        <w:rPr>
          <w:rFonts w:cstheme="minorHAnsi"/>
          <w:b/>
        </w:rPr>
        <w:t>/Inclisiran</w:t>
      </w:r>
      <w:r w:rsidRPr="004620EC">
        <w:rPr>
          <w:rFonts w:cstheme="minorHAnsi"/>
        </w:rPr>
        <w:t xml:space="preserve"> initiation if, LDL-C ≥ 2.6 mmol/L (Non-HDL-C ≥ 3.5mmol/L) despite maximal tolerated lipid lowering therapy (statins ± Ezetimibe).</w:t>
      </w:r>
    </w:p>
    <w:p w:rsidR="00DC0D1E" w:rsidRPr="004620EC" w:rsidRDefault="00DC0D1E" w:rsidP="00DC0D1E">
      <w:pPr>
        <w:jc w:val="both"/>
        <w:rPr>
          <w:rFonts w:cstheme="minorHAnsi"/>
          <w:sz w:val="36"/>
          <w:szCs w:val="36"/>
        </w:rPr>
      </w:pPr>
      <w:r w:rsidRPr="004620EC">
        <w:rPr>
          <w:rFonts w:cstheme="minorHAnsi"/>
          <w:b/>
          <w:sz w:val="32"/>
          <w:szCs w:val="32"/>
        </w:rPr>
        <w:t xml:space="preserve">     </w:t>
      </w:r>
      <w:r w:rsidRPr="004620EC">
        <w:rPr>
          <w:rFonts w:cstheme="minorHAnsi"/>
          <w:b/>
          <w:sz w:val="36"/>
          <w:szCs w:val="36"/>
        </w:rPr>
        <w:t>Monitoring on lipid lowering therapy</w:t>
      </w:r>
    </w:p>
    <w:tbl>
      <w:tblPr>
        <w:tblStyle w:val="TableGrid"/>
        <w:tblW w:w="0" w:type="auto"/>
        <w:tblInd w:w="421" w:type="dxa"/>
        <w:tblLook w:val="04A0" w:firstRow="1" w:lastRow="0" w:firstColumn="1" w:lastColumn="0" w:noHBand="0" w:noVBand="1"/>
      </w:tblPr>
      <w:tblGrid>
        <w:gridCol w:w="4087"/>
        <w:gridCol w:w="4508"/>
      </w:tblGrid>
      <w:tr w:rsidR="00DC0D1E" w:rsidRPr="004620EC" w:rsidTr="004E27AF">
        <w:tc>
          <w:tcPr>
            <w:tcW w:w="4087" w:type="dxa"/>
          </w:tcPr>
          <w:p w:rsidR="00DC0D1E" w:rsidRPr="007E1E51" w:rsidRDefault="00DC0D1E" w:rsidP="004E27AF">
            <w:pPr>
              <w:jc w:val="both"/>
              <w:rPr>
                <w:rFonts w:cstheme="minorHAnsi"/>
                <w:b/>
              </w:rPr>
            </w:pPr>
            <w:r w:rsidRPr="007E1E51">
              <w:rPr>
                <w:rFonts w:cstheme="minorHAnsi"/>
                <w:b/>
              </w:rPr>
              <w:t>Time</w:t>
            </w:r>
          </w:p>
        </w:tc>
        <w:tc>
          <w:tcPr>
            <w:tcW w:w="4508" w:type="dxa"/>
          </w:tcPr>
          <w:p w:rsidR="00DC0D1E" w:rsidRPr="007E1E51" w:rsidRDefault="00DC0D1E" w:rsidP="004E27AF">
            <w:pPr>
              <w:jc w:val="both"/>
              <w:rPr>
                <w:rFonts w:cstheme="minorHAnsi"/>
                <w:b/>
              </w:rPr>
            </w:pPr>
            <w:r w:rsidRPr="007E1E51">
              <w:rPr>
                <w:rFonts w:cstheme="minorHAnsi"/>
                <w:b/>
              </w:rPr>
              <w:t>Investigations</w:t>
            </w:r>
          </w:p>
        </w:tc>
      </w:tr>
      <w:tr w:rsidR="00DC0D1E" w:rsidRPr="004620EC" w:rsidTr="004E27AF">
        <w:tc>
          <w:tcPr>
            <w:tcW w:w="4087" w:type="dxa"/>
          </w:tcPr>
          <w:p w:rsidR="00DC0D1E" w:rsidRPr="004620EC" w:rsidRDefault="00DC0D1E" w:rsidP="004E27AF">
            <w:pPr>
              <w:jc w:val="both"/>
              <w:rPr>
                <w:rFonts w:cstheme="minorHAnsi"/>
              </w:rPr>
            </w:pPr>
            <w:r w:rsidRPr="004620EC">
              <w:rPr>
                <w:rFonts w:cstheme="minorHAnsi"/>
              </w:rPr>
              <w:t>Baseline</w:t>
            </w:r>
          </w:p>
        </w:tc>
        <w:tc>
          <w:tcPr>
            <w:tcW w:w="4508" w:type="dxa"/>
          </w:tcPr>
          <w:p w:rsidR="00DC0D1E" w:rsidRPr="004620EC" w:rsidRDefault="00DC0D1E" w:rsidP="004E27AF">
            <w:pPr>
              <w:jc w:val="both"/>
              <w:rPr>
                <w:rFonts w:cstheme="minorHAnsi"/>
              </w:rPr>
            </w:pPr>
            <w:r w:rsidRPr="004620EC">
              <w:rPr>
                <w:rFonts w:cstheme="minorHAnsi"/>
                <w:lang w:val="en-US"/>
              </w:rPr>
              <w:t>Full lipid profile, U&amp;E, LFT, TSH, HbA1c, urine dipstick</w:t>
            </w:r>
          </w:p>
        </w:tc>
      </w:tr>
      <w:tr w:rsidR="00DC0D1E" w:rsidRPr="004620EC" w:rsidTr="004E27AF">
        <w:tc>
          <w:tcPr>
            <w:tcW w:w="4087" w:type="dxa"/>
          </w:tcPr>
          <w:p w:rsidR="00DC0D1E" w:rsidRPr="004620EC" w:rsidRDefault="00DC0D1E" w:rsidP="004E27AF">
            <w:pPr>
              <w:jc w:val="both"/>
              <w:rPr>
                <w:rFonts w:cstheme="minorHAnsi"/>
              </w:rPr>
            </w:pPr>
            <w:r w:rsidRPr="004620EC">
              <w:rPr>
                <w:rFonts w:cstheme="minorHAnsi"/>
              </w:rPr>
              <w:t>3 months post statin initiation</w:t>
            </w:r>
          </w:p>
        </w:tc>
        <w:tc>
          <w:tcPr>
            <w:tcW w:w="4508" w:type="dxa"/>
          </w:tcPr>
          <w:p w:rsidR="00DC0D1E" w:rsidRPr="004620EC" w:rsidRDefault="00DC0D1E" w:rsidP="004E27AF">
            <w:pPr>
              <w:jc w:val="both"/>
              <w:rPr>
                <w:rFonts w:cstheme="minorHAnsi"/>
              </w:rPr>
            </w:pPr>
            <w:r w:rsidRPr="004620EC">
              <w:rPr>
                <w:rFonts w:cstheme="minorHAnsi"/>
                <w:lang w:val="en-US"/>
              </w:rPr>
              <w:t>Full lipid profile, LFT</w:t>
            </w:r>
          </w:p>
        </w:tc>
      </w:tr>
      <w:tr w:rsidR="00DC0D1E" w:rsidRPr="004620EC" w:rsidTr="004E27AF">
        <w:tc>
          <w:tcPr>
            <w:tcW w:w="4087" w:type="dxa"/>
          </w:tcPr>
          <w:p w:rsidR="00DC0D1E" w:rsidRPr="004620EC" w:rsidRDefault="00DC0D1E" w:rsidP="004E27AF">
            <w:pPr>
              <w:jc w:val="both"/>
              <w:rPr>
                <w:rFonts w:cstheme="minorHAnsi"/>
              </w:rPr>
            </w:pPr>
            <w:r w:rsidRPr="004620EC">
              <w:rPr>
                <w:rFonts w:cstheme="minorHAnsi"/>
              </w:rPr>
              <w:t>6-9 months, statin Rx up titration or addition of Ezetimibe</w:t>
            </w:r>
          </w:p>
        </w:tc>
        <w:tc>
          <w:tcPr>
            <w:tcW w:w="4508" w:type="dxa"/>
          </w:tcPr>
          <w:p w:rsidR="00DC0D1E" w:rsidRPr="004620EC" w:rsidRDefault="00DC0D1E" w:rsidP="004E27AF">
            <w:pPr>
              <w:jc w:val="both"/>
              <w:rPr>
                <w:rFonts w:cstheme="minorHAnsi"/>
              </w:rPr>
            </w:pPr>
            <w:r w:rsidRPr="004620EC">
              <w:rPr>
                <w:rFonts w:cstheme="minorHAnsi"/>
                <w:lang w:val="en-US"/>
              </w:rPr>
              <w:t>Full lipid profile, LFT</w:t>
            </w:r>
          </w:p>
        </w:tc>
      </w:tr>
      <w:tr w:rsidR="00DC0D1E" w:rsidRPr="004620EC" w:rsidTr="004E27AF">
        <w:tc>
          <w:tcPr>
            <w:tcW w:w="4087" w:type="dxa"/>
          </w:tcPr>
          <w:p w:rsidR="00DC0D1E" w:rsidRPr="004620EC" w:rsidRDefault="00DC0D1E" w:rsidP="004E27AF">
            <w:pPr>
              <w:jc w:val="both"/>
              <w:rPr>
                <w:rFonts w:cstheme="minorHAnsi"/>
              </w:rPr>
            </w:pPr>
            <w:r w:rsidRPr="004620EC">
              <w:rPr>
                <w:rFonts w:cstheme="minorHAnsi"/>
              </w:rPr>
              <w:t>12 months and then annually</w:t>
            </w:r>
          </w:p>
        </w:tc>
        <w:tc>
          <w:tcPr>
            <w:tcW w:w="4508" w:type="dxa"/>
          </w:tcPr>
          <w:p w:rsidR="00DC0D1E" w:rsidRPr="004620EC" w:rsidRDefault="00DC0D1E" w:rsidP="004E27AF">
            <w:pPr>
              <w:jc w:val="both"/>
              <w:rPr>
                <w:rFonts w:cstheme="minorHAnsi"/>
                <w:lang w:val="en-US"/>
              </w:rPr>
            </w:pPr>
            <w:r w:rsidRPr="004620EC">
              <w:rPr>
                <w:rFonts w:cstheme="minorHAnsi"/>
                <w:lang w:val="en-US"/>
              </w:rPr>
              <w:t>Full lipid profile, LFT</w:t>
            </w:r>
          </w:p>
        </w:tc>
      </w:tr>
    </w:tbl>
    <w:p w:rsidR="00DC0D1E" w:rsidRPr="004620EC" w:rsidRDefault="00DC0D1E" w:rsidP="00DC0D1E">
      <w:pPr>
        <w:jc w:val="both"/>
        <w:rPr>
          <w:rFonts w:cstheme="minorHAnsi"/>
          <w:b/>
          <w:sz w:val="32"/>
          <w:szCs w:val="32"/>
        </w:rPr>
      </w:pPr>
    </w:p>
    <w:p w:rsidR="00DC0D1E" w:rsidRPr="004620EC" w:rsidRDefault="00DC0D1E" w:rsidP="00DC0D1E">
      <w:pPr>
        <w:jc w:val="both"/>
        <w:rPr>
          <w:rFonts w:cstheme="minorHAnsi"/>
          <w:b/>
          <w:sz w:val="36"/>
          <w:szCs w:val="36"/>
        </w:rPr>
      </w:pPr>
      <w:r w:rsidRPr="004620EC">
        <w:rPr>
          <w:rFonts w:cstheme="minorHAnsi"/>
          <w:b/>
          <w:sz w:val="32"/>
          <w:szCs w:val="32"/>
        </w:rPr>
        <w:t xml:space="preserve">     </w:t>
      </w:r>
      <w:r w:rsidRPr="004620EC">
        <w:rPr>
          <w:rFonts w:cstheme="minorHAnsi"/>
          <w:b/>
          <w:sz w:val="36"/>
          <w:szCs w:val="36"/>
        </w:rPr>
        <w:t>CVD Lipid lowering treatment targets</w:t>
      </w:r>
    </w:p>
    <w:tbl>
      <w:tblPr>
        <w:tblStyle w:val="TableGrid"/>
        <w:tblW w:w="0" w:type="auto"/>
        <w:tblInd w:w="360" w:type="dxa"/>
        <w:tblLook w:val="04A0" w:firstRow="1" w:lastRow="0" w:firstColumn="1" w:lastColumn="0" w:noHBand="0" w:noVBand="1"/>
      </w:tblPr>
      <w:tblGrid>
        <w:gridCol w:w="2323"/>
        <w:gridCol w:w="3114"/>
        <w:gridCol w:w="3199"/>
      </w:tblGrid>
      <w:tr w:rsidR="00DC0D1E" w:rsidRPr="004620EC" w:rsidTr="004E27AF">
        <w:trPr>
          <w:trHeight w:val="689"/>
        </w:trPr>
        <w:tc>
          <w:tcPr>
            <w:tcW w:w="2329" w:type="dxa"/>
            <w:tcBorders>
              <w:top w:val="single" w:sz="12" w:space="0" w:color="FF0000"/>
              <w:left w:val="single" w:sz="12" w:space="0" w:color="FF0000"/>
              <w:bottom w:val="nil"/>
              <w:right w:val="single" w:sz="4" w:space="0" w:color="auto"/>
            </w:tcBorders>
          </w:tcPr>
          <w:p w:rsidR="00DC0D1E" w:rsidRPr="007E1E51" w:rsidRDefault="00DC0D1E" w:rsidP="004E27AF">
            <w:pPr>
              <w:jc w:val="both"/>
              <w:rPr>
                <w:rFonts w:cstheme="minorHAnsi"/>
                <w:b/>
              </w:rPr>
            </w:pPr>
            <w:r w:rsidRPr="007E1E51">
              <w:rPr>
                <w:rFonts w:cstheme="minorHAnsi"/>
                <w:b/>
              </w:rPr>
              <w:t>Primary prevention of CVD</w:t>
            </w:r>
          </w:p>
        </w:tc>
        <w:tc>
          <w:tcPr>
            <w:tcW w:w="3118" w:type="dxa"/>
            <w:tcBorders>
              <w:top w:val="single" w:sz="12" w:space="0" w:color="FF0000"/>
              <w:left w:val="single" w:sz="4" w:space="0" w:color="auto"/>
            </w:tcBorders>
          </w:tcPr>
          <w:p w:rsidR="00DC0D1E" w:rsidRPr="004620EC" w:rsidRDefault="00DC0D1E" w:rsidP="004E27AF">
            <w:pPr>
              <w:jc w:val="both"/>
              <w:rPr>
                <w:rFonts w:cstheme="minorHAnsi"/>
              </w:rPr>
            </w:pPr>
            <w:r w:rsidRPr="004620EC">
              <w:rPr>
                <w:rFonts w:cstheme="minorHAnsi"/>
              </w:rPr>
              <w:t>Familial Hypercholesterolaemia</w:t>
            </w:r>
          </w:p>
        </w:tc>
        <w:tc>
          <w:tcPr>
            <w:tcW w:w="3209" w:type="dxa"/>
            <w:tcBorders>
              <w:top w:val="single" w:sz="12" w:space="0" w:color="FF0000"/>
              <w:right w:val="single" w:sz="12" w:space="0" w:color="FF0000"/>
            </w:tcBorders>
          </w:tcPr>
          <w:p w:rsidR="00DC0D1E" w:rsidRPr="004620EC" w:rsidRDefault="00DC0D1E" w:rsidP="004E27AF">
            <w:pPr>
              <w:jc w:val="both"/>
              <w:rPr>
                <w:rFonts w:cstheme="minorHAnsi"/>
              </w:rPr>
            </w:pPr>
            <w:r w:rsidRPr="004620EC">
              <w:rPr>
                <w:rFonts w:cstheme="minorHAnsi"/>
              </w:rPr>
              <w:t>LDL-C target &gt;50% reduction from baseline</w:t>
            </w:r>
          </w:p>
        </w:tc>
      </w:tr>
      <w:tr w:rsidR="00DC0D1E" w:rsidRPr="004620EC" w:rsidTr="004E27AF">
        <w:trPr>
          <w:trHeight w:val="700"/>
        </w:trPr>
        <w:tc>
          <w:tcPr>
            <w:tcW w:w="2329" w:type="dxa"/>
            <w:tcBorders>
              <w:top w:val="nil"/>
              <w:left w:val="single" w:sz="12" w:space="0" w:color="FF0000"/>
              <w:bottom w:val="single" w:sz="4" w:space="0" w:color="auto"/>
              <w:right w:val="single" w:sz="4" w:space="0" w:color="auto"/>
            </w:tcBorders>
          </w:tcPr>
          <w:p w:rsidR="00DC0D1E" w:rsidRPr="004620EC" w:rsidRDefault="00DC0D1E" w:rsidP="004E27AF">
            <w:pPr>
              <w:jc w:val="both"/>
              <w:rPr>
                <w:rFonts w:cstheme="minorHAnsi"/>
              </w:rPr>
            </w:pPr>
          </w:p>
        </w:tc>
        <w:tc>
          <w:tcPr>
            <w:tcW w:w="3118" w:type="dxa"/>
            <w:tcBorders>
              <w:left w:val="single" w:sz="4" w:space="0" w:color="auto"/>
              <w:bottom w:val="single" w:sz="4" w:space="0" w:color="auto"/>
            </w:tcBorders>
          </w:tcPr>
          <w:p w:rsidR="00DC0D1E" w:rsidRPr="004620EC" w:rsidRDefault="00DC0D1E" w:rsidP="004E27AF">
            <w:pPr>
              <w:rPr>
                <w:rFonts w:cstheme="minorHAnsi"/>
              </w:rPr>
            </w:pPr>
            <w:r w:rsidRPr="004620EC">
              <w:rPr>
                <w:rFonts w:cstheme="minorHAnsi"/>
              </w:rPr>
              <w:t>Primary Non FH or mixed hyperlipidaemia</w:t>
            </w:r>
          </w:p>
        </w:tc>
        <w:tc>
          <w:tcPr>
            <w:tcW w:w="3209" w:type="dxa"/>
            <w:tcBorders>
              <w:bottom w:val="single" w:sz="4" w:space="0" w:color="auto"/>
              <w:right w:val="single" w:sz="12" w:space="0" w:color="FF0000"/>
            </w:tcBorders>
          </w:tcPr>
          <w:p w:rsidR="00DC0D1E" w:rsidRPr="009F3B84" w:rsidRDefault="00DC0D1E" w:rsidP="004E27AF">
            <w:pPr>
              <w:rPr>
                <w:rFonts w:cstheme="minorHAnsi"/>
                <w:color w:val="FF0000"/>
              </w:rPr>
            </w:pPr>
            <w:r w:rsidRPr="004620EC">
              <w:rPr>
                <w:rFonts w:cstheme="minorHAnsi"/>
              </w:rPr>
              <w:t>Non-HDL-C target &gt;40% reduction from baseline</w:t>
            </w:r>
          </w:p>
        </w:tc>
      </w:tr>
      <w:tr w:rsidR="00DC0D1E" w:rsidRPr="004620EC" w:rsidTr="004E27AF">
        <w:tc>
          <w:tcPr>
            <w:tcW w:w="2329" w:type="dxa"/>
            <w:tcBorders>
              <w:top w:val="single" w:sz="4" w:space="0" w:color="auto"/>
              <w:left w:val="single" w:sz="12" w:space="0" w:color="FF0000"/>
              <w:bottom w:val="single" w:sz="12" w:space="0" w:color="FF0000"/>
              <w:right w:val="single" w:sz="4" w:space="0" w:color="auto"/>
            </w:tcBorders>
          </w:tcPr>
          <w:p w:rsidR="00DC0D1E" w:rsidRPr="007E1E51" w:rsidRDefault="00DC0D1E" w:rsidP="004E27AF">
            <w:pPr>
              <w:jc w:val="both"/>
              <w:rPr>
                <w:rFonts w:cstheme="minorHAnsi"/>
                <w:b/>
              </w:rPr>
            </w:pPr>
            <w:r w:rsidRPr="007E1E51">
              <w:rPr>
                <w:rFonts w:cstheme="minorHAnsi"/>
                <w:b/>
              </w:rPr>
              <w:t>Secondary prevention of CVD</w:t>
            </w:r>
          </w:p>
        </w:tc>
        <w:tc>
          <w:tcPr>
            <w:tcW w:w="3118" w:type="dxa"/>
            <w:tcBorders>
              <w:top w:val="single" w:sz="4" w:space="0" w:color="auto"/>
              <w:left w:val="single" w:sz="4" w:space="0" w:color="auto"/>
              <w:bottom w:val="single" w:sz="12" w:space="0" w:color="FF0000"/>
            </w:tcBorders>
          </w:tcPr>
          <w:p w:rsidR="00DC0D1E" w:rsidRPr="004620EC" w:rsidRDefault="00DC0D1E" w:rsidP="004E27AF">
            <w:pPr>
              <w:jc w:val="both"/>
              <w:rPr>
                <w:rFonts w:cstheme="minorHAnsi"/>
              </w:rPr>
            </w:pPr>
          </w:p>
        </w:tc>
        <w:tc>
          <w:tcPr>
            <w:tcW w:w="3209" w:type="dxa"/>
            <w:tcBorders>
              <w:top w:val="single" w:sz="4" w:space="0" w:color="auto"/>
              <w:bottom w:val="single" w:sz="12" w:space="0" w:color="FF0000"/>
              <w:right w:val="single" w:sz="12" w:space="0" w:color="FF0000"/>
            </w:tcBorders>
          </w:tcPr>
          <w:p w:rsidR="00DC0D1E" w:rsidRPr="004620EC" w:rsidRDefault="00DC0D1E" w:rsidP="004E27AF">
            <w:pPr>
              <w:rPr>
                <w:rFonts w:cstheme="minorHAnsi"/>
              </w:rPr>
            </w:pPr>
            <w:r w:rsidRPr="004620EC">
              <w:rPr>
                <w:rFonts w:cstheme="minorHAnsi"/>
              </w:rPr>
              <w:t>LDL-C target of ≤ 1.8 mmol/L or Non-HDL-C target of ≤ 2.5 mmol/L</w:t>
            </w:r>
          </w:p>
        </w:tc>
      </w:tr>
    </w:tbl>
    <w:p w:rsidR="00DC0D1E" w:rsidRPr="004620EC" w:rsidRDefault="00DC0D1E" w:rsidP="00DC0D1E">
      <w:pPr>
        <w:jc w:val="both"/>
        <w:rPr>
          <w:rFonts w:cstheme="minorHAnsi"/>
          <w:b/>
          <w:sz w:val="32"/>
          <w:szCs w:val="32"/>
        </w:rPr>
      </w:pPr>
    </w:p>
    <w:p w:rsidR="00DC0D1E" w:rsidRPr="004620EC" w:rsidRDefault="00DC0D1E" w:rsidP="00DC0D1E">
      <w:pPr>
        <w:ind w:left="360"/>
        <w:jc w:val="both"/>
        <w:rPr>
          <w:rFonts w:cstheme="minorHAnsi"/>
          <w:b/>
          <w:sz w:val="36"/>
          <w:szCs w:val="36"/>
        </w:rPr>
      </w:pPr>
      <w:r w:rsidRPr="004620EC">
        <w:rPr>
          <w:rFonts w:cstheme="minorHAnsi"/>
          <w:b/>
          <w:sz w:val="36"/>
          <w:szCs w:val="36"/>
        </w:rPr>
        <w:t>Special considerations with lipid lowering therapy</w:t>
      </w:r>
    </w:p>
    <w:p w:rsidR="00DC0D1E" w:rsidRPr="004620EC" w:rsidRDefault="00DC0D1E" w:rsidP="00DC0D1E">
      <w:pPr>
        <w:pStyle w:val="ListParagraph"/>
        <w:numPr>
          <w:ilvl w:val="0"/>
          <w:numId w:val="2"/>
        </w:numPr>
        <w:jc w:val="both"/>
        <w:rPr>
          <w:rFonts w:cstheme="minorHAnsi"/>
        </w:rPr>
      </w:pPr>
      <w:r w:rsidRPr="004620EC">
        <w:rPr>
          <w:rFonts w:cstheme="minorHAnsi"/>
        </w:rPr>
        <w:t xml:space="preserve">A fully informed discussion is indicated in female patients in the reproductive age group prior to initiation of lipid lowering therapy inclusive of contraindications to lipid lowering therapy (Statins, ezetimibe, PCSK9I, Fibrates), need for screening children for Familial Hypercholesterolaemia (Autosomal dominant inheritance with 50% risk of inheritance)  and risks to the foetus if lipid lowering therapy is continued. </w:t>
      </w:r>
    </w:p>
    <w:p w:rsidR="00DC0D1E" w:rsidRPr="004620EC" w:rsidRDefault="00DC0D1E" w:rsidP="00DC0D1E">
      <w:pPr>
        <w:pStyle w:val="ListParagraph"/>
        <w:numPr>
          <w:ilvl w:val="0"/>
          <w:numId w:val="2"/>
        </w:numPr>
        <w:jc w:val="both"/>
        <w:rPr>
          <w:rFonts w:cstheme="minorHAnsi"/>
        </w:rPr>
      </w:pPr>
      <w:r w:rsidRPr="004620EC">
        <w:rPr>
          <w:rFonts w:cstheme="minorHAnsi"/>
        </w:rPr>
        <w:t xml:space="preserve">Patient who conceive on lipid lowering therapy should stop therapy immediately and be offered </w:t>
      </w:r>
      <w:r w:rsidRPr="007E1E51">
        <w:rPr>
          <w:rFonts w:cstheme="minorHAnsi"/>
          <w:i/>
          <w:u w:val="single"/>
        </w:rPr>
        <w:t>urgent referral</w:t>
      </w:r>
      <w:r w:rsidRPr="004620EC">
        <w:rPr>
          <w:rFonts w:cstheme="minorHAnsi"/>
        </w:rPr>
        <w:t xml:space="preserve"> for foetal assessment.</w:t>
      </w:r>
    </w:p>
    <w:p w:rsidR="00DC0D1E" w:rsidRPr="004620EC" w:rsidRDefault="00DC0D1E" w:rsidP="00DC0D1E">
      <w:pPr>
        <w:pStyle w:val="ListParagraph"/>
        <w:numPr>
          <w:ilvl w:val="0"/>
          <w:numId w:val="2"/>
        </w:numPr>
        <w:jc w:val="both"/>
        <w:rPr>
          <w:rFonts w:cstheme="minorHAnsi"/>
        </w:rPr>
      </w:pPr>
      <w:r w:rsidRPr="004620EC">
        <w:rPr>
          <w:rFonts w:cstheme="minorHAnsi"/>
        </w:rPr>
        <w:t>In female patients with heterozygous Familial Hypercholesterolaemia, there is no indication to monitor lipid profile during pregnancy and breast feeding period.</w:t>
      </w:r>
    </w:p>
    <w:p w:rsidR="00DC0D1E" w:rsidRPr="004620EC" w:rsidRDefault="00DC0D1E" w:rsidP="00DC0D1E">
      <w:pPr>
        <w:pStyle w:val="ListParagraph"/>
        <w:numPr>
          <w:ilvl w:val="0"/>
          <w:numId w:val="2"/>
        </w:numPr>
        <w:jc w:val="both"/>
        <w:rPr>
          <w:rFonts w:cstheme="minorHAnsi"/>
        </w:rPr>
      </w:pPr>
      <w:r w:rsidRPr="004620EC">
        <w:rPr>
          <w:rFonts w:cstheme="minorHAnsi"/>
        </w:rPr>
        <w:t>Annual review needs to take into account all CVD risk factors, treatment to target LDL-C/Non-HDL-C, concordance with lipid lowering therapy, diet and lifestyle. If applicable, a discussion on screening immediate family and conception plans is needed.</w:t>
      </w:r>
    </w:p>
    <w:p w:rsidR="00DC0D1E" w:rsidRPr="00153E7A" w:rsidRDefault="00DC0D1E" w:rsidP="00153E7A">
      <w:pPr>
        <w:pStyle w:val="ListParagraph"/>
        <w:numPr>
          <w:ilvl w:val="0"/>
          <w:numId w:val="2"/>
        </w:numPr>
        <w:jc w:val="both"/>
        <w:rPr>
          <w:rFonts w:cstheme="minorHAnsi"/>
        </w:rPr>
      </w:pPr>
      <w:r w:rsidRPr="004620EC">
        <w:rPr>
          <w:rFonts w:cstheme="minorHAnsi"/>
        </w:rPr>
        <w:t xml:space="preserve">For lipid lowering therapy initiation (or changes) in patients with chronic kidney disease with eGFR&lt; 30mL/min, consider referral to lipid clinic. </w:t>
      </w:r>
    </w:p>
    <w:tbl>
      <w:tblPr>
        <w:tblStyle w:val="TableGrid"/>
        <w:tblW w:w="0" w:type="auto"/>
        <w:tblLook w:val="04A0" w:firstRow="1" w:lastRow="0" w:firstColumn="1" w:lastColumn="0" w:noHBand="0" w:noVBand="1"/>
      </w:tblPr>
      <w:tblGrid>
        <w:gridCol w:w="3005"/>
        <w:gridCol w:w="3005"/>
        <w:gridCol w:w="3006"/>
      </w:tblGrid>
      <w:tr w:rsidR="00DC0D1E" w:rsidRPr="004620EC" w:rsidTr="004E27AF">
        <w:tc>
          <w:tcPr>
            <w:tcW w:w="3005" w:type="dxa"/>
            <w:shd w:val="clear" w:color="auto" w:fill="FF0000"/>
          </w:tcPr>
          <w:p w:rsidR="00DC0D1E" w:rsidRPr="004620EC" w:rsidRDefault="00DC0D1E" w:rsidP="004E27AF">
            <w:pPr>
              <w:jc w:val="center"/>
              <w:rPr>
                <w:rFonts w:cstheme="minorHAnsi"/>
              </w:rPr>
            </w:pPr>
            <w:r w:rsidRPr="004620EC">
              <w:rPr>
                <w:rFonts w:cstheme="minorHAnsi"/>
              </w:rPr>
              <w:t>Red drugs</w:t>
            </w:r>
          </w:p>
        </w:tc>
        <w:tc>
          <w:tcPr>
            <w:tcW w:w="3005" w:type="dxa"/>
            <w:shd w:val="clear" w:color="auto" w:fill="FFC000"/>
          </w:tcPr>
          <w:p w:rsidR="00DC0D1E" w:rsidRPr="004620EC" w:rsidRDefault="00DC0D1E" w:rsidP="004E27AF">
            <w:pPr>
              <w:jc w:val="center"/>
              <w:rPr>
                <w:rFonts w:cstheme="minorHAnsi"/>
              </w:rPr>
            </w:pPr>
            <w:r>
              <w:rPr>
                <w:rFonts w:cstheme="minorHAnsi"/>
              </w:rPr>
              <w:t>Amber</w:t>
            </w:r>
            <w:r w:rsidRPr="004620EC">
              <w:rPr>
                <w:rFonts w:cstheme="minorHAnsi"/>
              </w:rPr>
              <w:t xml:space="preserve"> drug</w:t>
            </w:r>
            <w:r>
              <w:rPr>
                <w:rFonts w:cstheme="minorHAnsi"/>
              </w:rPr>
              <w:t>s</w:t>
            </w:r>
          </w:p>
        </w:tc>
        <w:tc>
          <w:tcPr>
            <w:tcW w:w="3006" w:type="dxa"/>
            <w:shd w:val="clear" w:color="auto" w:fill="92D050"/>
          </w:tcPr>
          <w:p w:rsidR="00DC0D1E" w:rsidRPr="004620EC" w:rsidRDefault="00DC0D1E" w:rsidP="004E27AF">
            <w:pPr>
              <w:jc w:val="center"/>
              <w:rPr>
                <w:rFonts w:cstheme="minorHAnsi"/>
              </w:rPr>
            </w:pPr>
            <w:r w:rsidRPr="004620EC">
              <w:rPr>
                <w:rFonts w:cstheme="minorHAnsi"/>
              </w:rPr>
              <w:t>Green drugs</w:t>
            </w:r>
          </w:p>
        </w:tc>
      </w:tr>
      <w:tr w:rsidR="00DC0D1E" w:rsidRPr="004620EC" w:rsidTr="004E27AF">
        <w:tc>
          <w:tcPr>
            <w:tcW w:w="3005" w:type="dxa"/>
            <w:shd w:val="clear" w:color="auto" w:fill="FF0000"/>
          </w:tcPr>
          <w:p w:rsidR="00DC0D1E" w:rsidRPr="007E1E51" w:rsidRDefault="00DC0D1E" w:rsidP="004E27AF">
            <w:pPr>
              <w:jc w:val="both"/>
              <w:rPr>
                <w:rFonts w:cstheme="minorHAnsi"/>
              </w:rPr>
            </w:pPr>
            <w:r w:rsidRPr="007E1E51">
              <w:rPr>
                <w:rFonts w:cstheme="minorHAnsi"/>
              </w:rPr>
              <w:t>PCSK9 Inhibitors</w:t>
            </w:r>
          </w:p>
          <w:p w:rsidR="00DC0D1E" w:rsidRPr="007E1E51" w:rsidRDefault="00DC0D1E" w:rsidP="00DC0D1E">
            <w:pPr>
              <w:pStyle w:val="ListParagraph"/>
              <w:numPr>
                <w:ilvl w:val="1"/>
                <w:numId w:val="2"/>
              </w:numPr>
              <w:jc w:val="both"/>
              <w:rPr>
                <w:rFonts w:cstheme="minorHAnsi"/>
              </w:rPr>
            </w:pPr>
            <w:r w:rsidRPr="007E1E51">
              <w:rPr>
                <w:rFonts w:cstheme="minorHAnsi"/>
              </w:rPr>
              <w:t>Evolocumab</w:t>
            </w:r>
          </w:p>
          <w:p w:rsidR="00DC0D1E" w:rsidRPr="007E1E51" w:rsidRDefault="00DC0D1E" w:rsidP="00DC0D1E">
            <w:pPr>
              <w:pStyle w:val="ListParagraph"/>
              <w:numPr>
                <w:ilvl w:val="1"/>
                <w:numId w:val="2"/>
              </w:numPr>
              <w:jc w:val="both"/>
              <w:rPr>
                <w:rFonts w:cstheme="minorHAnsi"/>
              </w:rPr>
            </w:pPr>
            <w:r w:rsidRPr="007E1E51">
              <w:rPr>
                <w:rFonts w:cstheme="minorHAnsi"/>
              </w:rPr>
              <w:t>Alirocumab</w:t>
            </w:r>
          </w:p>
          <w:p w:rsidR="00DC0D1E" w:rsidRPr="007E1E51" w:rsidRDefault="00DC0D1E" w:rsidP="004E27AF">
            <w:pPr>
              <w:jc w:val="both"/>
              <w:rPr>
                <w:rFonts w:cstheme="minorHAnsi"/>
              </w:rPr>
            </w:pPr>
            <w:r w:rsidRPr="007E1E51">
              <w:rPr>
                <w:rFonts w:cstheme="minorHAnsi"/>
              </w:rPr>
              <w:t>Bempedoic acid</w:t>
            </w:r>
          </w:p>
        </w:tc>
        <w:tc>
          <w:tcPr>
            <w:tcW w:w="3005" w:type="dxa"/>
            <w:shd w:val="clear" w:color="auto" w:fill="FFC000"/>
          </w:tcPr>
          <w:p w:rsidR="00DC0D1E" w:rsidRDefault="00DC0D1E" w:rsidP="004E27AF">
            <w:pPr>
              <w:jc w:val="both"/>
              <w:rPr>
                <w:rFonts w:cstheme="minorHAnsi"/>
              </w:rPr>
            </w:pPr>
            <w:r w:rsidRPr="007E1E51">
              <w:rPr>
                <w:rFonts w:cstheme="minorHAnsi"/>
              </w:rPr>
              <w:t>Inclisiran</w:t>
            </w:r>
          </w:p>
          <w:p w:rsidR="00DC0D1E" w:rsidRPr="007E1E51" w:rsidRDefault="00DC0D1E" w:rsidP="004E27AF">
            <w:pPr>
              <w:jc w:val="both"/>
              <w:rPr>
                <w:rFonts w:cstheme="minorHAnsi"/>
              </w:rPr>
            </w:pPr>
            <w:r>
              <w:rPr>
                <w:rFonts w:cstheme="minorHAnsi"/>
              </w:rPr>
              <w:t>Icosapent ethyl</w:t>
            </w:r>
          </w:p>
          <w:p w:rsidR="00DC0D1E" w:rsidRPr="007E1E51" w:rsidRDefault="00DC0D1E" w:rsidP="004E27AF">
            <w:pPr>
              <w:jc w:val="both"/>
              <w:rPr>
                <w:rFonts w:cstheme="minorHAnsi"/>
                <w:b/>
                <w:sz w:val="32"/>
                <w:szCs w:val="32"/>
              </w:rPr>
            </w:pPr>
          </w:p>
        </w:tc>
        <w:tc>
          <w:tcPr>
            <w:tcW w:w="3006" w:type="dxa"/>
            <w:shd w:val="clear" w:color="auto" w:fill="92D050"/>
          </w:tcPr>
          <w:p w:rsidR="00DC0D1E" w:rsidRPr="007E1E51" w:rsidRDefault="00DC0D1E" w:rsidP="004E27AF">
            <w:pPr>
              <w:jc w:val="both"/>
              <w:rPr>
                <w:rFonts w:cstheme="minorHAnsi"/>
              </w:rPr>
            </w:pPr>
            <w:r w:rsidRPr="007E1E51">
              <w:rPr>
                <w:rFonts w:cstheme="minorHAnsi"/>
              </w:rPr>
              <w:t>Statins</w:t>
            </w:r>
          </w:p>
          <w:p w:rsidR="00DC0D1E" w:rsidRPr="007E1E51" w:rsidRDefault="00DC0D1E" w:rsidP="004E27AF">
            <w:pPr>
              <w:jc w:val="both"/>
              <w:rPr>
                <w:rFonts w:cstheme="minorHAnsi"/>
              </w:rPr>
            </w:pPr>
            <w:r w:rsidRPr="007E1E51">
              <w:rPr>
                <w:rFonts w:cstheme="minorHAnsi"/>
              </w:rPr>
              <w:t>Ezetimibe</w:t>
            </w:r>
          </w:p>
          <w:p w:rsidR="00DC0D1E" w:rsidRPr="007E1E51" w:rsidRDefault="00DC0D1E" w:rsidP="004E27AF">
            <w:pPr>
              <w:jc w:val="both"/>
              <w:rPr>
                <w:rFonts w:cstheme="minorHAnsi"/>
              </w:rPr>
            </w:pPr>
            <w:r w:rsidRPr="007E1E51">
              <w:rPr>
                <w:rFonts w:cstheme="minorHAnsi"/>
              </w:rPr>
              <w:t>Fibrates</w:t>
            </w:r>
          </w:p>
        </w:tc>
      </w:tr>
    </w:tbl>
    <w:p w:rsidR="00153E7A" w:rsidRDefault="00153E7A" w:rsidP="00DC0D1E">
      <w:pPr>
        <w:jc w:val="both"/>
        <w:rPr>
          <w:rFonts w:cstheme="minorHAnsi"/>
          <w:b/>
          <w:sz w:val="36"/>
          <w:szCs w:val="36"/>
        </w:rPr>
      </w:pPr>
    </w:p>
    <w:p w:rsidR="00DC0D1E" w:rsidRPr="004620EC" w:rsidRDefault="00DC0D1E" w:rsidP="00DC0D1E">
      <w:pPr>
        <w:jc w:val="both"/>
        <w:rPr>
          <w:rFonts w:cstheme="minorHAnsi"/>
          <w:b/>
          <w:sz w:val="36"/>
          <w:szCs w:val="36"/>
        </w:rPr>
      </w:pPr>
      <w:r w:rsidRPr="004620EC">
        <w:rPr>
          <w:rFonts w:cstheme="minorHAnsi"/>
          <w:b/>
          <w:sz w:val="36"/>
          <w:szCs w:val="36"/>
        </w:rPr>
        <w:t>Familial Hypercholesterolaemia</w:t>
      </w:r>
    </w:p>
    <w:p w:rsidR="00DC0D1E" w:rsidRPr="00153E7A" w:rsidRDefault="00DC0D1E" w:rsidP="00153E7A">
      <w:pPr>
        <w:jc w:val="both"/>
        <w:rPr>
          <w:rFonts w:cstheme="minorHAnsi"/>
        </w:rPr>
      </w:pPr>
      <w:r w:rsidRPr="004620EC">
        <w:rPr>
          <w:rFonts w:cstheme="minorHAnsi"/>
        </w:rPr>
        <w:t xml:space="preserve">Familial Hypercholesterolaemia (FH) is an Autosomal dominant condition resulting in high LDL-cholesterol levels from birth with premature coronary heart disease (CHD) occurring in approximately half of men by age 50 and one third of women by age 60. Lifetime exposure to LDL-C correlates with increased risk of cardiovascular disease. The prevalence of heterozygous FH is 1 in 250. Early initiation of lipid lowering treatment combined with lifestyle modification can virtually eliminate any additional risk and potentially restore life expectancy to normal. The Yorkshire and Humber Familial Hypercholesterolaemia service identifies individuals with FH through genetic testing and offers cascade testing to family members where a pathogenic mutation has been identified. The Yorkshire and Humber Familial Hypercholesterolaemia service is based at 4 different Trusts including Huddersfield, Hull, Leeds and York and has a standardised FH genetic testing pathway for adults with FH with agreed local arrangements for the provision of Paediatric FH service. Refer to the primary care pathway for identification of patients with FH and primary and secondary CVD prevention pathway in the CVD risk optimisation tool kit for clinical management of FH. The FH service based at Hull University Teaching Hospitals NHS Trust offers extended service to the primary care networks in Hull, East Riding of Yorkshire, North Lincolnshire and North East Lincolnshire. </w:t>
      </w:r>
    </w:p>
    <w:p w:rsidR="00153E7A" w:rsidRDefault="00153E7A" w:rsidP="00DC0D1E">
      <w:pPr>
        <w:rPr>
          <w:rFonts w:cstheme="minorHAnsi"/>
          <w:b/>
          <w:sz w:val="36"/>
          <w:szCs w:val="36"/>
        </w:rPr>
      </w:pPr>
    </w:p>
    <w:p w:rsidR="00DC0D1E" w:rsidRPr="004620EC" w:rsidRDefault="00DC0D1E" w:rsidP="00DC0D1E">
      <w:pPr>
        <w:rPr>
          <w:rFonts w:cstheme="minorHAnsi"/>
          <w:b/>
          <w:sz w:val="36"/>
          <w:szCs w:val="36"/>
        </w:rPr>
      </w:pPr>
      <w:r w:rsidRPr="004620EC">
        <w:rPr>
          <w:rFonts w:cstheme="minorHAnsi"/>
          <w:b/>
          <w:sz w:val="36"/>
          <w:szCs w:val="36"/>
        </w:rPr>
        <w:t xml:space="preserve">Yorkshire and Humber FH Service contacts </w:t>
      </w:r>
    </w:p>
    <w:tbl>
      <w:tblPr>
        <w:tblStyle w:val="TableGrid"/>
        <w:tblW w:w="0" w:type="auto"/>
        <w:tblLook w:val="04A0" w:firstRow="1" w:lastRow="0" w:firstColumn="1" w:lastColumn="0" w:noHBand="0" w:noVBand="1"/>
      </w:tblPr>
      <w:tblGrid>
        <w:gridCol w:w="3114"/>
        <w:gridCol w:w="5902"/>
      </w:tblGrid>
      <w:tr w:rsidR="00DC0D1E" w:rsidRPr="004620EC" w:rsidTr="004E27AF">
        <w:tc>
          <w:tcPr>
            <w:tcW w:w="3114" w:type="dxa"/>
            <w:tcBorders>
              <w:bottom w:val="double" w:sz="4" w:space="0" w:color="auto"/>
              <w:right w:val="double" w:sz="4" w:space="0" w:color="auto"/>
            </w:tcBorders>
          </w:tcPr>
          <w:p w:rsidR="00DC0D1E" w:rsidRPr="004620EC" w:rsidRDefault="00DC0D1E" w:rsidP="004E27AF">
            <w:pPr>
              <w:rPr>
                <w:rFonts w:cstheme="minorHAnsi"/>
                <w:b/>
                <w:sz w:val="24"/>
                <w:szCs w:val="24"/>
              </w:rPr>
            </w:pPr>
            <w:r w:rsidRPr="004620EC">
              <w:rPr>
                <w:rFonts w:cstheme="minorHAnsi"/>
                <w:b/>
                <w:sz w:val="24"/>
                <w:szCs w:val="24"/>
              </w:rPr>
              <w:t>Site</w:t>
            </w:r>
          </w:p>
        </w:tc>
        <w:tc>
          <w:tcPr>
            <w:tcW w:w="5902" w:type="dxa"/>
            <w:tcBorders>
              <w:left w:val="double" w:sz="4" w:space="0" w:color="auto"/>
              <w:bottom w:val="double" w:sz="4" w:space="0" w:color="auto"/>
            </w:tcBorders>
          </w:tcPr>
          <w:p w:rsidR="00DC0D1E" w:rsidRPr="004620EC" w:rsidRDefault="00DC0D1E" w:rsidP="004E27AF">
            <w:pPr>
              <w:rPr>
                <w:rFonts w:cstheme="minorHAnsi"/>
                <w:b/>
                <w:sz w:val="24"/>
                <w:szCs w:val="24"/>
              </w:rPr>
            </w:pPr>
            <w:r w:rsidRPr="004620EC">
              <w:rPr>
                <w:rFonts w:cstheme="minorHAnsi"/>
                <w:b/>
                <w:sz w:val="24"/>
                <w:szCs w:val="24"/>
              </w:rPr>
              <w:t>Contact</w:t>
            </w:r>
          </w:p>
        </w:tc>
      </w:tr>
      <w:tr w:rsidR="00DC0D1E" w:rsidRPr="004620EC" w:rsidTr="004E27AF">
        <w:trPr>
          <w:trHeight w:val="792"/>
        </w:trPr>
        <w:tc>
          <w:tcPr>
            <w:tcW w:w="3114" w:type="dxa"/>
            <w:tcBorders>
              <w:top w:val="double" w:sz="4" w:space="0" w:color="auto"/>
              <w:right w:val="double" w:sz="4" w:space="0" w:color="auto"/>
            </w:tcBorders>
          </w:tcPr>
          <w:p w:rsidR="00DC0D1E" w:rsidRPr="004620EC" w:rsidRDefault="00DC0D1E" w:rsidP="004E27AF">
            <w:pPr>
              <w:rPr>
                <w:rFonts w:cstheme="minorHAnsi"/>
              </w:rPr>
            </w:pPr>
            <w:r w:rsidRPr="004620EC">
              <w:rPr>
                <w:rFonts w:cstheme="minorHAnsi"/>
              </w:rPr>
              <w:t>Calderdale &amp; Huddersfield NHS Foundation Trust</w:t>
            </w:r>
          </w:p>
        </w:tc>
        <w:tc>
          <w:tcPr>
            <w:tcW w:w="5902" w:type="dxa"/>
            <w:tcBorders>
              <w:top w:val="double" w:sz="4" w:space="0" w:color="auto"/>
              <w:left w:val="double" w:sz="4" w:space="0" w:color="auto"/>
            </w:tcBorders>
          </w:tcPr>
          <w:p w:rsidR="00DC0D1E" w:rsidRPr="004620EC" w:rsidRDefault="00DC0D1E" w:rsidP="004E27AF">
            <w:pPr>
              <w:rPr>
                <w:rFonts w:cstheme="minorHAnsi"/>
              </w:rPr>
            </w:pPr>
            <w:r>
              <w:rPr>
                <w:rFonts w:cstheme="minorHAnsi"/>
              </w:rPr>
              <w:t>Ms</w:t>
            </w:r>
            <w:r w:rsidRPr="004620EC">
              <w:rPr>
                <w:rFonts w:cstheme="minorHAnsi"/>
              </w:rPr>
              <w:t xml:space="preserve"> Jillian Webster, FH nurse specialist</w:t>
            </w:r>
          </w:p>
          <w:p w:rsidR="00DC0D1E" w:rsidRPr="004620EC" w:rsidRDefault="00DC0D1E" w:rsidP="004E27AF">
            <w:pPr>
              <w:rPr>
                <w:rFonts w:cstheme="minorHAnsi"/>
              </w:rPr>
            </w:pPr>
            <w:r>
              <w:rPr>
                <w:rFonts w:cstheme="minorHAnsi"/>
              </w:rPr>
              <w:t>Dr</w:t>
            </w:r>
            <w:r w:rsidRPr="004620EC">
              <w:rPr>
                <w:rFonts w:cstheme="minorHAnsi"/>
              </w:rPr>
              <w:t xml:space="preserve"> Karen Mitchell, Consultant Chemical Pathology</w:t>
            </w:r>
          </w:p>
        </w:tc>
      </w:tr>
      <w:tr w:rsidR="00DC0D1E" w:rsidRPr="004620EC" w:rsidTr="004E27AF">
        <w:tc>
          <w:tcPr>
            <w:tcW w:w="3114" w:type="dxa"/>
            <w:tcBorders>
              <w:right w:val="double" w:sz="4" w:space="0" w:color="auto"/>
            </w:tcBorders>
          </w:tcPr>
          <w:p w:rsidR="00DC0D1E" w:rsidRPr="004620EC" w:rsidRDefault="00DC0D1E" w:rsidP="004E27AF">
            <w:pPr>
              <w:rPr>
                <w:rFonts w:cstheme="minorHAnsi"/>
              </w:rPr>
            </w:pPr>
            <w:r w:rsidRPr="004620EC">
              <w:rPr>
                <w:rFonts w:cstheme="minorHAnsi"/>
              </w:rPr>
              <w:t>Hull University Teaching Hospitals NHS Trust</w:t>
            </w:r>
          </w:p>
        </w:tc>
        <w:tc>
          <w:tcPr>
            <w:tcW w:w="5902" w:type="dxa"/>
            <w:tcBorders>
              <w:left w:val="double" w:sz="4" w:space="0" w:color="auto"/>
            </w:tcBorders>
          </w:tcPr>
          <w:p w:rsidR="00DC0D1E" w:rsidRPr="004620EC" w:rsidRDefault="00DC0D1E" w:rsidP="004E27AF">
            <w:pPr>
              <w:rPr>
                <w:rFonts w:cstheme="minorHAnsi"/>
              </w:rPr>
            </w:pPr>
            <w:r>
              <w:rPr>
                <w:rFonts w:cstheme="minorHAnsi"/>
              </w:rPr>
              <w:t>Ms</w:t>
            </w:r>
            <w:r w:rsidRPr="004620EC">
              <w:rPr>
                <w:rFonts w:cstheme="minorHAnsi"/>
              </w:rPr>
              <w:t xml:space="preserve"> Paula Sutton - FH nurse specialists</w:t>
            </w:r>
          </w:p>
          <w:p w:rsidR="00DC0D1E" w:rsidRPr="004620EC" w:rsidRDefault="00DC0D1E" w:rsidP="004E27AF">
            <w:pPr>
              <w:rPr>
                <w:rFonts w:cstheme="minorHAnsi"/>
              </w:rPr>
            </w:pPr>
            <w:r>
              <w:rPr>
                <w:rFonts w:cstheme="minorHAnsi"/>
              </w:rPr>
              <w:t>Ms</w:t>
            </w:r>
            <w:r w:rsidRPr="004620EC">
              <w:rPr>
                <w:rFonts w:cstheme="minorHAnsi"/>
              </w:rPr>
              <w:t xml:space="preserve"> Rachel Dunn- FH nurse specialist</w:t>
            </w:r>
          </w:p>
          <w:p w:rsidR="00DC0D1E" w:rsidRPr="004620EC" w:rsidRDefault="00DC0D1E" w:rsidP="004E27AF">
            <w:pPr>
              <w:rPr>
                <w:rFonts w:cstheme="minorHAnsi"/>
              </w:rPr>
            </w:pPr>
            <w:r w:rsidRPr="004620EC">
              <w:rPr>
                <w:rFonts w:cstheme="minorHAnsi"/>
              </w:rPr>
              <w:t>Dr Deepa Narayanan- Consultant in Chemical Pathology &amp; Metabolic Medicine</w:t>
            </w:r>
          </w:p>
          <w:p w:rsidR="00DC0D1E" w:rsidRPr="004620EC" w:rsidRDefault="00DC0D1E" w:rsidP="004E27AF">
            <w:pPr>
              <w:rPr>
                <w:rFonts w:cstheme="minorHAnsi"/>
              </w:rPr>
            </w:pPr>
            <w:r>
              <w:rPr>
                <w:rFonts w:cstheme="minorHAnsi"/>
              </w:rPr>
              <w:t>Dr</w:t>
            </w:r>
            <w:r w:rsidRPr="004620EC">
              <w:rPr>
                <w:rFonts w:cstheme="minorHAnsi"/>
              </w:rPr>
              <w:t xml:space="preserve"> Robert Desborough-  Consultant in Chemical Pathology &amp; Metabolic Medicine</w:t>
            </w:r>
          </w:p>
        </w:tc>
      </w:tr>
      <w:tr w:rsidR="00DC0D1E" w:rsidRPr="004620EC" w:rsidTr="004E27AF">
        <w:tc>
          <w:tcPr>
            <w:tcW w:w="3114" w:type="dxa"/>
            <w:tcBorders>
              <w:right w:val="double" w:sz="4" w:space="0" w:color="auto"/>
            </w:tcBorders>
          </w:tcPr>
          <w:p w:rsidR="00DC0D1E" w:rsidRPr="004620EC" w:rsidRDefault="00DC0D1E" w:rsidP="004E27AF">
            <w:pPr>
              <w:rPr>
                <w:rFonts w:cstheme="minorHAnsi"/>
              </w:rPr>
            </w:pPr>
            <w:r w:rsidRPr="004620EC">
              <w:rPr>
                <w:rFonts w:cstheme="minorHAnsi"/>
              </w:rPr>
              <w:t>Leeds Teaching NHS Hospitals Trust</w:t>
            </w:r>
          </w:p>
        </w:tc>
        <w:tc>
          <w:tcPr>
            <w:tcW w:w="5902" w:type="dxa"/>
            <w:tcBorders>
              <w:left w:val="double" w:sz="4" w:space="0" w:color="auto"/>
            </w:tcBorders>
          </w:tcPr>
          <w:p w:rsidR="00DC0D1E" w:rsidRPr="004620EC" w:rsidRDefault="00DC0D1E" w:rsidP="004E27AF">
            <w:pPr>
              <w:rPr>
                <w:rFonts w:cstheme="minorHAnsi"/>
              </w:rPr>
            </w:pPr>
            <w:r>
              <w:rPr>
                <w:rFonts w:cstheme="minorHAnsi"/>
              </w:rPr>
              <w:t>Ms</w:t>
            </w:r>
            <w:r w:rsidRPr="004620EC">
              <w:rPr>
                <w:rFonts w:cstheme="minorHAnsi"/>
              </w:rPr>
              <w:t xml:space="preserve"> Claire Burton, FH nurse specialist</w:t>
            </w:r>
          </w:p>
          <w:p w:rsidR="00DC0D1E" w:rsidRPr="004620EC" w:rsidRDefault="00DC0D1E" w:rsidP="004E27AF">
            <w:pPr>
              <w:rPr>
                <w:rFonts w:cstheme="minorHAnsi"/>
              </w:rPr>
            </w:pPr>
            <w:r>
              <w:rPr>
                <w:rFonts w:cstheme="minorHAnsi"/>
              </w:rPr>
              <w:t>Dr</w:t>
            </w:r>
            <w:r w:rsidRPr="004620EC">
              <w:rPr>
                <w:rFonts w:cstheme="minorHAnsi"/>
              </w:rPr>
              <w:t xml:space="preserve"> Michael Mansfield, Consultant in diabetes and lipidology </w:t>
            </w:r>
          </w:p>
          <w:p w:rsidR="00DC0D1E" w:rsidRPr="004620EC" w:rsidRDefault="00DC0D1E" w:rsidP="004E27AF">
            <w:pPr>
              <w:rPr>
                <w:rFonts w:cstheme="minorHAnsi"/>
              </w:rPr>
            </w:pPr>
            <w:r>
              <w:rPr>
                <w:rFonts w:cstheme="minorHAnsi"/>
              </w:rPr>
              <w:t xml:space="preserve">Dr </w:t>
            </w:r>
            <w:r w:rsidRPr="004620EC">
              <w:rPr>
                <w:rFonts w:cstheme="minorHAnsi"/>
              </w:rPr>
              <w:t>Kevin Stuart, Consultant Chemical Pathology &amp; Metabolic Medicine</w:t>
            </w:r>
          </w:p>
        </w:tc>
      </w:tr>
      <w:tr w:rsidR="00DC0D1E" w:rsidRPr="004620EC" w:rsidTr="004E27AF">
        <w:tc>
          <w:tcPr>
            <w:tcW w:w="3114" w:type="dxa"/>
            <w:tcBorders>
              <w:right w:val="double" w:sz="4" w:space="0" w:color="auto"/>
            </w:tcBorders>
          </w:tcPr>
          <w:p w:rsidR="00DC0D1E" w:rsidRPr="004620EC" w:rsidRDefault="00DC0D1E" w:rsidP="004E27AF">
            <w:pPr>
              <w:rPr>
                <w:rFonts w:cstheme="minorHAnsi"/>
              </w:rPr>
            </w:pPr>
            <w:r w:rsidRPr="004620EC">
              <w:rPr>
                <w:rFonts w:cstheme="minorHAnsi"/>
              </w:rPr>
              <w:t>York Teaching Hospitals NHS Foundation Trust</w:t>
            </w:r>
          </w:p>
        </w:tc>
        <w:tc>
          <w:tcPr>
            <w:tcW w:w="5902" w:type="dxa"/>
            <w:tcBorders>
              <w:left w:val="double" w:sz="4" w:space="0" w:color="auto"/>
            </w:tcBorders>
          </w:tcPr>
          <w:p w:rsidR="00DC0D1E" w:rsidRPr="004620EC" w:rsidRDefault="00DC0D1E" w:rsidP="004E27AF">
            <w:pPr>
              <w:rPr>
                <w:rFonts w:cstheme="minorHAnsi"/>
              </w:rPr>
            </w:pPr>
            <w:r w:rsidRPr="004620EC">
              <w:rPr>
                <w:rFonts w:cstheme="minorHAnsi"/>
              </w:rPr>
              <w:t>Ms. Claire Tuson, FH nurse specialist</w:t>
            </w:r>
          </w:p>
          <w:p w:rsidR="00DC0D1E" w:rsidRPr="004620EC" w:rsidRDefault="00DC0D1E" w:rsidP="004E27AF">
            <w:pPr>
              <w:rPr>
                <w:rFonts w:cstheme="minorHAnsi"/>
              </w:rPr>
            </w:pPr>
            <w:r>
              <w:rPr>
                <w:rFonts w:cstheme="minorHAnsi"/>
              </w:rPr>
              <w:t>Dr</w:t>
            </w:r>
            <w:r w:rsidRPr="004620EC">
              <w:rPr>
                <w:rFonts w:cstheme="minorHAnsi"/>
              </w:rPr>
              <w:t xml:space="preserve"> Deepak Chandrajay, Consultant Chemical Pathology &amp; Metabolic Medicine</w:t>
            </w:r>
          </w:p>
        </w:tc>
      </w:tr>
    </w:tbl>
    <w:p w:rsidR="00DC0D1E" w:rsidRPr="004620EC" w:rsidRDefault="00DC0D1E" w:rsidP="00DC0D1E">
      <w:pPr>
        <w:jc w:val="both"/>
        <w:rPr>
          <w:rFonts w:cstheme="minorHAnsi"/>
          <w:b/>
          <w:sz w:val="36"/>
          <w:szCs w:val="36"/>
        </w:rPr>
      </w:pPr>
      <w:r w:rsidRPr="004620EC">
        <w:rPr>
          <w:rFonts w:cstheme="minorHAnsi"/>
          <w:b/>
          <w:sz w:val="36"/>
          <w:szCs w:val="36"/>
        </w:rPr>
        <w:t>Paediatric Familial Hypercholesterolaemia pathway</w:t>
      </w:r>
    </w:p>
    <w:p w:rsidR="00DC0D1E" w:rsidRPr="004620EC" w:rsidRDefault="00DC0D1E" w:rsidP="00DC0D1E">
      <w:pPr>
        <w:jc w:val="both"/>
        <w:rPr>
          <w:rFonts w:cstheme="minorHAnsi"/>
          <w:b/>
          <w:sz w:val="36"/>
          <w:szCs w:val="36"/>
        </w:rPr>
      </w:pPr>
      <w:r>
        <w:rPr>
          <w:rFonts w:cstheme="minorHAnsi"/>
          <w:b/>
          <w:sz w:val="36"/>
          <w:szCs w:val="36"/>
        </w:rPr>
        <w:object w:dxaOrig="1534" w:dyaOrig="997">
          <v:shape id="_x0000_i1029" type="#_x0000_t75" style="width:76.5pt;height:49.5pt" o:ole="">
            <v:imagedata r:id="rId24" o:title=""/>
          </v:shape>
          <o:OLEObject Type="Embed" ProgID="Acrobat.Document.DC" ShapeID="_x0000_i1029" DrawAspect="Icon" ObjectID="_1733134880" r:id="rId25"/>
        </w:object>
      </w:r>
    </w:p>
    <w:p w:rsidR="00DC0D1E" w:rsidRPr="004620EC" w:rsidRDefault="00DC0D1E" w:rsidP="00DC0D1E">
      <w:pPr>
        <w:jc w:val="both"/>
        <w:rPr>
          <w:rFonts w:cstheme="minorHAnsi"/>
          <w:b/>
          <w:sz w:val="36"/>
          <w:szCs w:val="36"/>
        </w:rPr>
      </w:pPr>
      <w:r w:rsidRPr="004620EC">
        <w:rPr>
          <w:rFonts w:cstheme="minorHAnsi"/>
          <w:b/>
          <w:sz w:val="36"/>
          <w:szCs w:val="36"/>
        </w:rPr>
        <w:t>Hypertriglyceridaemia Pathway</w:t>
      </w:r>
    </w:p>
    <w:p w:rsidR="00DC0D1E" w:rsidRDefault="00DC0D1E" w:rsidP="00DC0D1E">
      <w:pPr>
        <w:jc w:val="both"/>
        <w:rPr>
          <w:rFonts w:cstheme="minorHAnsi"/>
          <w:b/>
          <w:sz w:val="36"/>
          <w:szCs w:val="36"/>
        </w:rPr>
      </w:pPr>
      <w:r>
        <w:rPr>
          <w:rFonts w:cstheme="minorHAnsi"/>
          <w:b/>
          <w:sz w:val="36"/>
          <w:szCs w:val="36"/>
        </w:rPr>
        <w:object w:dxaOrig="1534" w:dyaOrig="997">
          <v:shape id="_x0000_i1030" type="#_x0000_t75" style="width:76.5pt;height:49.5pt" o:ole="">
            <v:imagedata r:id="rId26" o:title=""/>
          </v:shape>
          <o:OLEObject Type="Embed" ProgID="Acrobat.Document.DC" ShapeID="_x0000_i1030" DrawAspect="Icon" ObjectID="_1733134881" r:id="rId27"/>
        </w:object>
      </w:r>
    </w:p>
    <w:p w:rsidR="00DC0D1E" w:rsidRPr="004620EC" w:rsidRDefault="00DC0D1E" w:rsidP="00DC0D1E">
      <w:pPr>
        <w:jc w:val="both"/>
        <w:rPr>
          <w:rFonts w:cstheme="minorHAnsi"/>
          <w:b/>
          <w:sz w:val="36"/>
          <w:szCs w:val="36"/>
        </w:rPr>
      </w:pPr>
      <w:r w:rsidRPr="004620EC">
        <w:rPr>
          <w:rFonts w:cstheme="minorHAnsi"/>
          <w:b/>
          <w:sz w:val="36"/>
          <w:szCs w:val="36"/>
        </w:rPr>
        <w:t>Referral criteria to lipid clinic to HUTH</w:t>
      </w:r>
    </w:p>
    <w:p w:rsidR="00DC0D1E" w:rsidRPr="004620EC" w:rsidRDefault="00DC0D1E" w:rsidP="00DC0D1E">
      <w:pPr>
        <w:pStyle w:val="ListParagraph"/>
        <w:numPr>
          <w:ilvl w:val="0"/>
          <w:numId w:val="1"/>
        </w:numPr>
        <w:jc w:val="both"/>
        <w:rPr>
          <w:rFonts w:cstheme="minorHAnsi"/>
        </w:rPr>
      </w:pPr>
      <w:r w:rsidRPr="004620EC">
        <w:rPr>
          <w:rFonts w:cstheme="minorHAnsi"/>
        </w:rPr>
        <w:t>Initiation of PCSK9 Inhibitors/ Inclisiran/Bempedoic acid</w:t>
      </w:r>
    </w:p>
    <w:p w:rsidR="00DC0D1E" w:rsidRPr="004620EC" w:rsidRDefault="00DC0D1E" w:rsidP="00DC0D1E">
      <w:pPr>
        <w:pStyle w:val="ListParagraph"/>
        <w:numPr>
          <w:ilvl w:val="0"/>
          <w:numId w:val="1"/>
        </w:numPr>
        <w:jc w:val="both"/>
        <w:rPr>
          <w:rFonts w:cstheme="minorHAnsi"/>
        </w:rPr>
      </w:pPr>
      <w:r w:rsidRPr="004620EC">
        <w:rPr>
          <w:rFonts w:cstheme="minorHAnsi"/>
        </w:rPr>
        <w:t>Not treated to LDLC targets despite maximal lipid lowering therapy</w:t>
      </w:r>
    </w:p>
    <w:p w:rsidR="00DC0D1E" w:rsidRPr="004620EC" w:rsidRDefault="00DC0D1E" w:rsidP="00DC0D1E">
      <w:pPr>
        <w:pStyle w:val="ListParagraph"/>
        <w:numPr>
          <w:ilvl w:val="0"/>
          <w:numId w:val="1"/>
        </w:numPr>
        <w:jc w:val="both"/>
        <w:rPr>
          <w:rFonts w:cstheme="minorHAnsi"/>
        </w:rPr>
      </w:pPr>
      <w:r w:rsidRPr="004620EC">
        <w:rPr>
          <w:rFonts w:cstheme="minorHAnsi"/>
        </w:rPr>
        <w:t>Intolerance to 3 different statins</w:t>
      </w:r>
    </w:p>
    <w:p w:rsidR="00DC0D1E" w:rsidRPr="004620EC" w:rsidRDefault="00DC0D1E" w:rsidP="00DC0D1E">
      <w:pPr>
        <w:pStyle w:val="ListParagraph"/>
        <w:numPr>
          <w:ilvl w:val="0"/>
          <w:numId w:val="1"/>
        </w:numPr>
        <w:jc w:val="both"/>
        <w:rPr>
          <w:rFonts w:cstheme="minorHAnsi"/>
        </w:rPr>
      </w:pPr>
      <w:r w:rsidRPr="004620EC">
        <w:rPr>
          <w:rFonts w:cstheme="minorHAnsi"/>
        </w:rPr>
        <w:t>Statin contraindication</w:t>
      </w:r>
    </w:p>
    <w:p w:rsidR="00DC0D1E" w:rsidRPr="004620EC" w:rsidRDefault="00DC0D1E" w:rsidP="00DC0D1E">
      <w:pPr>
        <w:pStyle w:val="ListParagraph"/>
        <w:numPr>
          <w:ilvl w:val="0"/>
          <w:numId w:val="1"/>
        </w:numPr>
        <w:jc w:val="both"/>
        <w:rPr>
          <w:rFonts w:cstheme="minorHAnsi"/>
        </w:rPr>
      </w:pPr>
      <w:r w:rsidRPr="004620EC">
        <w:rPr>
          <w:rFonts w:cstheme="minorHAnsi"/>
        </w:rPr>
        <w:t>LFT abnormalities on statins</w:t>
      </w:r>
    </w:p>
    <w:p w:rsidR="00DC0D1E" w:rsidRPr="004620EC" w:rsidRDefault="00DC0D1E" w:rsidP="00DC0D1E">
      <w:pPr>
        <w:pStyle w:val="ListParagraph"/>
        <w:numPr>
          <w:ilvl w:val="0"/>
          <w:numId w:val="1"/>
        </w:numPr>
        <w:jc w:val="both"/>
        <w:rPr>
          <w:rFonts w:cstheme="minorHAnsi"/>
        </w:rPr>
      </w:pPr>
      <w:r w:rsidRPr="004620EC">
        <w:rPr>
          <w:rFonts w:cstheme="minorHAnsi"/>
        </w:rPr>
        <w:t>Rhabdomyolysis on statins</w:t>
      </w:r>
    </w:p>
    <w:p w:rsidR="00DC0D1E" w:rsidRPr="004620EC" w:rsidRDefault="00DC0D1E" w:rsidP="00DC0D1E">
      <w:pPr>
        <w:pStyle w:val="ListParagraph"/>
        <w:numPr>
          <w:ilvl w:val="0"/>
          <w:numId w:val="1"/>
        </w:numPr>
        <w:jc w:val="both"/>
        <w:rPr>
          <w:rFonts w:cstheme="minorHAnsi"/>
        </w:rPr>
      </w:pPr>
      <w:r w:rsidRPr="004620EC">
        <w:rPr>
          <w:rFonts w:cstheme="minorHAnsi"/>
        </w:rPr>
        <w:t>Possible Familial Hypercholesterolaemia</w:t>
      </w:r>
    </w:p>
    <w:p w:rsidR="00DC0D1E" w:rsidRPr="004620EC" w:rsidRDefault="00DC0D1E" w:rsidP="00DC0D1E">
      <w:pPr>
        <w:pStyle w:val="ListParagraph"/>
        <w:numPr>
          <w:ilvl w:val="0"/>
          <w:numId w:val="1"/>
        </w:numPr>
        <w:jc w:val="both"/>
        <w:rPr>
          <w:rFonts w:cstheme="minorHAnsi"/>
        </w:rPr>
      </w:pPr>
      <w:r w:rsidRPr="004620EC">
        <w:rPr>
          <w:rFonts w:cstheme="minorHAnsi"/>
        </w:rPr>
        <w:t>Patients with triglyceride concentration ≥ 20 mmol/L or sustained triglyceride ≥10 mmol/L in the absence of known secondary causes of dyslipidaemia and history of pancreatitis</w:t>
      </w:r>
    </w:p>
    <w:p w:rsidR="00DC0D1E" w:rsidRPr="004620EC" w:rsidRDefault="00DC0D1E" w:rsidP="00DC0D1E">
      <w:pPr>
        <w:jc w:val="both"/>
        <w:rPr>
          <w:rFonts w:cstheme="minorHAnsi"/>
          <w:b/>
        </w:rPr>
      </w:pPr>
      <w:r w:rsidRPr="004620EC">
        <w:rPr>
          <w:rFonts w:cstheme="minorHAnsi"/>
          <w:b/>
        </w:rPr>
        <w:t xml:space="preserve"> </w:t>
      </w:r>
    </w:p>
    <w:p w:rsidR="00DC0D1E" w:rsidRPr="004620EC" w:rsidRDefault="00DC0D1E" w:rsidP="00DC0D1E">
      <w:pPr>
        <w:jc w:val="both"/>
        <w:rPr>
          <w:rFonts w:cstheme="minorHAnsi"/>
          <w:b/>
          <w:sz w:val="36"/>
          <w:szCs w:val="36"/>
        </w:rPr>
      </w:pPr>
      <w:r w:rsidRPr="004620EC">
        <w:rPr>
          <w:rFonts w:cstheme="minorHAnsi"/>
          <w:b/>
          <w:sz w:val="36"/>
          <w:szCs w:val="36"/>
        </w:rPr>
        <w:t>Electronic referral service</w:t>
      </w:r>
    </w:p>
    <w:p w:rsidR="00DC0D1E" w:rsidRPr="004620EC" w:rsidRDefault="00DC0D1E" w:rsidP="00DC0D1E">
      <w:pPr>
        <w:pStyle w:val="ListParagraph"/>
        <w:numPr>
          <w:ilvl w:val="0"/>
          <w:numId w:val="1"/>
        </w:numPr>
        <w:jc w:val="both"/>
        <w:rPr>
          <w:rFonts w:cstheme="minorHAnsi"/>
          <w:b/>
          <w:sz w:val="28"/>
          <w:szCs w:val="28"/>
        </w:rPr>
      </w:pPr>
      <w:r w:rsidRPr="004620EC">
        <w:rPr>
          <w:rFonts w:cstheme="minorHAnsi"/>
          <w:b/>
          <w:sz w:val="28"/>
          <w:szCs w:val="28"/>
        </w:rPr>
        <w:t>Choose and book service</w:t>
      </w:r>
    </w:p>
    <w:p w:rsidR="00DC0D1E" w:rsidRPr="004620EC" w:rsidRDefault="00DC0D1E" w:rsidP="00DC0D1E">
      <w:pPr>
        <w:jc w:val="both"/>
        <w:rPr>
          <w:rFonts w:cstheme="minorHAnsi"/>
          <w:b/>
          <w:sz w:val="32"/>
          <w:szCs w:val="32"/>
        </w:rPr>
      </w:pPr>
      <w:r w:rsidRPr="004620EC">
        <w:rPr>
          <w:rFonts w:cstheme="minorHAnsi"/>
        </w:rPr>
        <w:t>For lipid clinic/ FH service referrals, via ERS, select lipid/ Familial Hypercholesterolaemia service under Endocrinology.</w:t>
      </w:r>
    </w:p>
    <w:p w:rsidR="00DC0D1E" w:rsidRPr="004620EC" w:rsidRDefault="00DC0D1E" w:rsidP="00DC0D1E">
      <w:pPr>
        <w:pStyle w:val="ListParagraph"/>
        <w:numPr>
          <w:ilvl w:val="0"/>
          <w:numId w:val="1"/>
        </w:numPr>
        <w:jc w:val="both"/>
        <w:rPr>
          <w:rFonts w:cstheme="minorHAnsi"/>
          <w:b/>
          <w:sz w:val="28"/>
          <w:szCs w:val="28"/>
        </w:rPr>
      </w:pPr>
      <w:r w:rsidRPr="004620EC">
        <w:rPr>
          <w:rFonts w:cstheme="minorHAnsi"/>
          <w:b/>
          <w:sz w:val="28"/>
          <w:szCs w:val="28"/>
        </w:rPr>
        <w:t>Advice and guidance</w:t>
      </w:r>
    </w:p>
    <w:p w:rsidR="00DC0D1E" w:rsidRPr="004620EC" w:rsidRDefault="00DC0D1E" w:rsidP="00DC0D1E">
      <w:pPr>
        <w:jc w:val="both"/>
        <w:rPr>
          <w:rFonts w:cstheme="minorHAnsi"/>
        </w:rPr>
      </w:pPr>
      <w:r w:rsidRPr="004620EC">
        <w:rPr>
          <w:rFonts w:cstheme="minorHAnsi"/>
        </w:rPr>
        <w:t>For advice and guidance queries regarding lipids or Familial Hypercholesterolaemia, via ERS, select lipid service under Endocrinology.</w:t>
      </w:r>
    </w:p>
    <w:p w:rsidR="00DC0D1E" w:rsidRPr="004620EC" w:rsidRDefault="00DC0D1E" w:rsidP="00DC0D1E">
      <w:pPr>
        <w:jc w:val="both"/>
        <w:rPr>
          <w:rFonts w:cstheme="minorHAnsi"/>
        </w:rPr>
      </w:pPr>
      <w:r w:rsidRPr="004620EC">
        <w:rPr>
          <w:rFonts w:cstheme="minorHAnsi"/>
          <w:b/>
          <w:sz w:val="36"/>
          <w:szCs w:val="36"/>
        </w:rPr>
        <w:t>References</w:t>
      </w:r>
    </w:p>
    <w:p w:rsidR="00DC0D1E" w:rsidRPr="004620EC" w:rsidRDefault="00DC0D1E" w:rsidP="00DC0D1E">
      <w:pPr>
        <w:pStyle w:val="ListParagraph"/>
        <w:numPr>
          <w:ilvl w:val="0"/>
          <w:numId w:val="4"/>
        </w:numPr>
        <w:jc w:val="both"/>
        <w:rPr>
          <w:rFonts w:cstheme="minorHAnsi"/>
        </w:rPr>
      </w:pPr>
      <w:r w:rsidRPr="004620EC">
        <w:rPr>
          <w:rFonts w:cstheme="minorHAnsi"/>
        </w:rPr>
        <w:t xml:space="preserve"> </w:t>
      </w:r>
      <w:hyperlink r:id="rId28" w:history="1">
        <w:r w:rsidRPr="004620EC">
          <w:rPr>
            <w:rStyle w:val="Hyperlink"/>
            <w:rFonts w:cstheme="minorHAnsi"/>
          </w:rPr>
          <w:t>https://www.nice.org.uk/guidance/cg71</w:t>
        </w:r>
      </w:hyperlink>
    </w:p>
    <w:p w:rsidR="00DC0D1E" w:rsidRPr="004620EC" w:rsidRDefault="008D675D" w:rsidP="00DC0D1E">
      <w:pPr>
        <w:pStyle w:val="ListParagraph"/>
        <w:numPr>
          <w:ilvl w:val="0"/>
          <w:numId w:val="4"/>
        </w:numPr>
        <w:jc w:val="both"/>
        <w:rPr>
          <w:rStyle w:val="Hyperlink"/>
          <w:rFonts w:cstheme="minorHAnsi"/>
          <w:color w:val="auto"/>
          <w:u w:val="none"/>
        </w:rPr>
      </w:pPr>
      <w:hyperlink r:id="rId29" w:history="1">
        <w:r w:rsidR="00DC0D1E" w:rsidRPr="004620EC">
          <w:rPr>
            <w:rStyle w:val="Hyperlink"/>
            <w:rFonts w:cstheme="minorHAnsi"/>
          </w:rPr>
          <w:t>https://www.nice.org.uk/guidance/cg181</w:t>
        </w:r>
      </w:hyperlink>
    </w:p>
    <w:p w:rsidR="00DC0D1E" w:rsidRPr="004620EC" w:rsidRDefault="008D675D" w:rsidP="00DC0D1E">
      <w:pPr>
        <w:pStyle w:val="ListParagraph"/>
        <w:numPr>
          <w:ilvl w:val="0"/>
          <w:numId w:val="4"/>
        </w:numPr>
        <w:jc w:val="both"/>
        <w:rPr>
          <w:rStyle w:val="Hyperlink"/>
          <w:rFonts w:cstheme="minorHAnsi"/>
          <w:color w:val="auto"/>
          <w:u w:val="none"/>
        </w:rPr>
      </w:pPr>
      <w:hyperlink r:id="rId30" w:history="1">
        <w:r w:rsidR="00DC0D1E" w:rsidRPr="004620EC">
          <w:rPr>
            <w:rStyle w:val="Hyperlink"/>
            <w:rFonts w:cstheme="minorHAnsi"/>
          </w:rPr>
          <w:t>https://www.nice.org.uk/guidance/ta394/chapter/1-Recommendations</w:t>
        </w:r>
      </w:hyperlink>
    </w:p>
    <w:p w:rsidR="00DC0D1E" w:rsidRPr="004620EC" w:rsidRDefault="008D675D" w:rsidP="00DC0D1E">
      <w:pPr>
        <w:pStyle w:val="ListParagraph"/>
        <w:numPr>
          <w:ilvl w:val="0"/>
          <w:numId w:val="4"/>
        </w:numPr>
        <w:jc w:val="both"/>
        <w:rPr>
          <w:rStyle w:val="Hyperlink"/>
          <w:rFonts w:cstheme="minorHAnsi"/>
          <w:color w:val="auto"/>
          <w:u w:val="none"/>
        </w:rPr>
      </w:pPr>
      <w:hyperlink r:id="rId31" w:history="1">
        <w:r w:rsidR="00DC0D1E" w:rsidRPr="004620EC">
          <w:rPr>
            <w:rStyle w:val="Hyperlink"/>
            <w:rFonts w:cstheme="minorHAnsi"/>
          </w:rPr>
          <w:t>https://www.nice.org.uk/guidance/ta393/chapter/1-Recommendations</w:t>
        </w:r>
      </w:hyperlink>
    </w:p>
    <w:p w:rsidR="00DC0D1E" w:rsidRPr="004620EC" w:rsidRDefault="008D675D" w:rsidP="00DC0D1E">
      <w:pPr>
        <w:pStyle w:val="ListParagraph"/>
        <w:numPr>
          <w:ilvl w:val="0"/>
          <w:numId w:val="4"/>
        </w:numPr>
        <w:jc w:val="both"/>
        <w:rPr>
          <w:rStyle w:val="Hyperlink"/>
          <w:rFonts w:cstheme="minorHAnsi"/>
          <w:color w:val="auto"/>
          <w:u w:val="none"/>
        </w:rPr>
      </w:pPr>
      <w:hyperlink r:id="rId32" w:history="1">
        <w:r w:rsidR="00DC0D1E" w:rsidRPr="004620EC">
          <w:rPr>
            <w:rStyle w:val="Hyperlink"/>
            <w:rFonts w:cstheme="minorHAnsi"/>
          </w:rPr>
          <w:t>https://www.nice.org.uk/guidance/ta694</w:t>
        </w:r>
      </w:hyperlink>
    </w:p>
    <w:p w:rsidR="00DC0D1E" w:rsidRPr="004620EC" w:rsidRDefault="008D675D" w:rsidP="00DC0D1E">
      <w:pPr>
        <w:pStyle w:val="ListParagraph"/>
        <w:numPr>
          <w:ilvl w:val="0"/>
          <w:numId w:val="4"/>
        </w:numPr>
        <w:jc w:val="both"/>
        <w:rPr>
          <w:rStyle w:val="Hyperlink"/>
          <w:rFonts w:cstheme="minorHAnsi"/>
          <w:color w:val="auto"/>
          <w:u w:val="none"/>
        </w:rPr>
      </w:pPr>
      <w:hyperlink r:id="rId33" w:history="1">
        <w:r w:rsidR="00DC0D1E" w:rsidRPr="004620EC">
          <w:rPr>
            <w:rStyle w:val="Hyperlink"/>
            <w:rFonts w:cstheme="minorHAnsi"/>
          </w:rPr>
          <w:t>https://www.nice.org.uk/guidance/ta733</w:t>
        </w:r>
      </w:hyperlink>
    </w:p>
    <w:p w:rsidR="00DC0D1E" w:rsidRPr="004620EC" w:rsidRDefault="008D675D" w:rsidP="00DC0D1E">
      <w:pPr>
        <w:pStyle w:val="ListParagraph"/>
        <w:numPr>
          <w:ilvl w:val="0"/>
          <w:numId w:val="4"/>
        </w:numPr>
        <w:jc w:val="both"/>
        <w:rPr>
          <w:rStyle w:val="Hyperlink"/>
          <w:rFonts w:cstheme="minorHAnsi"/>
          <w:color w:val="auto"/>
          <w:u w:val="none"/>
        </w:rPr>
      </w:pPr>
      <w:hyperlink r:id="rId34" w:history="1">
        <w:r w:rsidR="00DC0D1E" w:rsidRPr="004620EC">
          <w:rPr>
            <w:rStyle w:val="Hyperlink"/>
            <w:rFonts w:cstheme="minorHAnsi"/>
          </w:rPr>
          <w:t>https://www.england.nhs.uk/aac/wp-content/uploads/sites/50/2020/08/Statin-Intolerance-Pathway-NEW.pdf</w:t>
        </w:r>
      </w:hyperlink>
    </w:p>
    <w:p w:rsidR="00DC0D1E" w:rsidRPr="004620EC" w:rsidRDefault="00DC0D1E" w:rsidP="00DC0D1E">
      <w:pPr>
        <w:pStyle w:val="ListParagraph"/>
        <w:numPr>
          <w:ilvl w:val="0"/>
          <w:numId w:val="4"/>
        </w:numPr>
        <w:jc w:val="both"/>
        <w:rPr>
          <w:rStyle w:val="Hyperlink"/>
          <w:rFonts w:cstheme="minorHAnsi"/>
          <w:color w:val="auto"/>
          <w:u w:val="none"/>
        </w:rPr>
      </w:pPr>
      <w:r w:rsidRPr="004620EC">
        <w:rPr>
          <w:rFonts w:cstheme="minorHAnsi"/>
        </w:rPr>
        <w:t xml:space="preserve">2019 ESC/EAS Guidelines for the management of dyslipidaemias: lipid modification to reduce cardiovascular risk: The Task Force for the management of dyslipidaemias of the European Society of Cardiology (ESC) and European Atherosclerosis Society (EAS). </w:t>
      </w:r>
      <w:hyperlink r:id="rId35" w:history="1">
        <w:r w:rsidRPr="004620EC">
          <w:rPr>
            <w:rStyle w:val="Hyperlink"/>
            <w:rFonts w:cstheme="minorHAnsi"/>
          </w:rPr>
          <w:t>https://academic.oup.com/eurheartj/article/41/1/111/5556353</w:t>
        </w:r>
      </w:hyperlink>
    </w:p>
    <w:p w:rsidR="00DC0D1E" w:rsidRPr="004620EC" w:rsidRDefault="008D675D" w:rsidP="00DC0D1E">
      <w:pPr>
        <w:pStyle w:val="ListParagraph"/>
        <w:numPr>
          <w:ilvl w:val="0"/>
          <w:numId w:val="4"/>
        </w:numPr>
        <w:jc w:val="both"/>
        <w:rPr>
          <w:rFonts w:cstheme="minorHAnsi"/>
        </w:rPr>
      </w:pPr>
      <w:hyperlink r:id="rId36" w:history="1">
        <w:r w:rsidR="00DC0D1E" w:rsidRPr="004620EC">
          <w:rPr>
            <w:rStyle w:val="Hyperlink"/>
            <w:rFonts w:cstheme="minorHAnsi"/>
          </w:rPr>
          <w:t>https://www.sunderlandccg.nhs.uk/wp-content/uploads/2021/07/Northern-England-Evaluation-and-Lipid-Intensification-Guideline-NEELI.pdf</w:t>
        </w:r>
      </w:hyperlink>
    </w:p>
    <w:p w:rsidR="00DC0D1E" w:rsidRPr="004620EC" w:rsidRDefault="008D675D" w:rsidP="00DC0D1E">
      <w:pPr>
        <w:pStyle w:val="ListParagraph"/>
        <w:numPr>
          <w:ilvl w:val="0"/>
          <w:numId w:val="4"/>
        </w:numPr>
        <w:jc w:val="both"/>
        <w:rPr>
          <w:rFonts w:cstheme="minorHAnsi"/>
        </w:rPr>
      </w:pPr>
      <w:hyperlink r:id="rId37" w:history="1">
        <w:r w:rsidR="00DC0D1E" w:rsidRPr="004620EC">
          <w:rPr>
            <w:rStyle w:val="Hyperlink"/>
            <w:rFonts w:cstheme="minorHAnsi"/>
          </w:rPr>
          <w:t>https://www.england.nhs.uk/aac/wp-content/uploads/sites/50/2020/04/Lipid-Management-Pathway-NEW-version-4.pdf</w:t>
        </w:r>
      </w:hyperlink>
    </w:p>
    <w:p w:rsidR="00DC0D1E" w:rsidRPr="004620EC" w:rsidRDefault="00DC0D1E" w:rsidP="00DC0D1E">
      <w:pPr>
        <w:ind w:left="360"/>
        <w:jc w:val="both"/>
        <w:rPr>
          <w:rFonts w:cstheme="minorHAnsi"/>
        </w:rPr>
      </w:pPr>
    </w:p>
    <w:p w:rsidR="00DC0D1E" w:rsidRPr="00154AF9" w:rsidRDefault="00DC0D1E" w:rsidP="00DC0D1E">
      <w:pPr>
        <w:jc w:val="both"/>
        <w:rPr>
          <w:rFonts w:cstheme="minorHAnsi"/>
        </w:rPr>
        <w:sectPr w:rsidR="00DC0D1E" w:rsidRPr="00154AF9" w:rsidSect="00EE69FB">
          <w:headerReference w:type="default" r:id="rId38"/>
          <w:footerReference w:type="default" r:id="rId39"/>
          <w:pgSz w:w="11906" w:h="16838"/>
          <w:pgMar w:top="2410" w:right="1440" w:bottom="1702" w:left="1440" w:header="708" w:footer="708" w:gutter="0"/>
          <w:cols w:space="708"/>
          <w:docGrid w:linePitch="360"/>
        </w:sectPr>
      </w:pPr>
    </w:p>
    <w:p w:rsidR="00DC0D1E" w:rsidRDefault="00DC0D1E" w:rsidP="00DC0D1E">
      <w:pPr>
        <w:spacing w:after="0"/>
      </w:pPr>
    </w:p>
    <w:p w:rsidR="00DC0D1E" w:rsidRPr="009629DA" w:rsidRDefault="00DC0D1E" w:rsidP="00DC0D1E"/>
    <w:p w:rsidR="00DC0D1E" w:rsidRPr="009629DA" w:rsidRDefault="00DC0D1E" w:rsidP="00DC0D1E"/>
    <w:p w:rsidR="00DC0D1E" w:rsidRPr="009629DA" w:rsidRDefault="00DC0D1E" w:rsidP="00DC0D1E"/>
    <w:p w:rsidR="00DC0D1E" w:rsidRPr="009629DA" w:rsidRDefault="00DC0D1E" w:rsidP="00DC0D1E"/>
    <w:p w:rsidR="00DC0D1E" w:rsidRPr="009629DA" w:rsidRDefault="00DC0D1E" w:rsidP="00DC0D1E">
      <w:pPr>
        <w:rPr>
          <w:b/>
          <w:sz w:val="72"/>
          <w:szCs w:val="72"/>
        </w:rPr>
      </w:pPr>
    </w:p>
    <w:p w:rsidR="00DC0D1E" w:rsidRPr="009629DA" w:rsidRDefault="00DC0D1E" w:rsidP="00DC0D1E">
      <w:pPr>
        <w:jc w:val="center"/>
        <w:rPr>
          <w:b/>
          <w:sz w:val="72"/>
          <w:szCs w:val="72"/>
        </w:rPr>
      </w:pPr>
      <w:r w:rsidRPr="009629DA">
        <w:rPr>
          <w:b/>
          <w:sz w:val="72"/>
          <w:szCs w:val="72"/>
        </w:rPr>
        <w:t>Appendix</w:t>
      </w:r>
    </w:p>
    <w:p w:rsidR="00DC0D1E" w:rsidRPr="009629DA" w:rsidRDefault="00DC0D1E" w:rsidP="00DC0D1E">
      <w:pPr>
        <w:tabs>
          <w:tab w:val="center" w:pos="4513"/>
        </w:tabs>
        <w:sectPr w:rsidR="00DC0D1E" w:rsidRPr="009629DA" w:rsidSect="00EE69FB">
          <w:pgSz w:w="11906" w:h="16838"/>
          <w:pgMar w:top="2410" w:right="1440" w:bottom="1702" w:left="1440" w:header="708" w:footer="708" w:gutter="0"/>
          <w:cols w:space="708"/>
          <w:docGrid w:linePitch="360"/>
        </w:sectPr>
      </w:pPr>
      <w:r>
        <w:tab/>
      </w:r>
    </w:p>
    <w:p w:rsidR="00DC0D1E" w:rsidRPr="001C0EAB" w:rsidRDefault="00DC0D1E" w:rsidP="00DC0D1E">
      <w:pPr>
        <w:spacing w:after="0"/>
        <w:rPr>
          <w:rFonts w:cstheme="minorHAnsi"/>
          <w:b/>
          <w:sz w:val="24"/>
          <w:szCs w:val="24"/>
        </w:rPr>
      </w:pPr>
      <w:r>
        <w:rPr>
          <w:b/>
          <w:noProof/>
          <w:sz w:val="32"/>
          <w:szCs w:val="32"/>
          <w:lang w:eastAsia="en-GB"/>
        </w:rPr>
        <w:t>A</w:t>
      </w:r>
      <w:r w:rsidRPr="001C0EAB">
        <w:rPr>
          <w:b/>
          <w:noProof/>
          <w:sz w:val="32"/>
          <w:szCs w:val="32"/>
          <w:lang w:eastAsia="en-GB"/>
        </w:rPr>
        <w:t>ppendix A</w:t>
      </w:r>
      <w:r>
        <w:rPr>
          <w:rFonts w:cstheme="minorHAnsi"/>
          <w:b/>
          <w:sz w:val="24"/>
          <w:szCs w:val="24"/>
        </w:rPr>
        <w:t xml:space="preserve">: </w:t>
      </w:r>
      <w:r w:rsidRPr="001C0EAB">
        <w:rPr>
          <w:rFonts w:cstheme="minorHAnsi"/>
          <w:b/>
          <w:sz w:val="28"/>
          <w:szCs w:val="28"/>
        </w:rPr>
        <w:t>Primary Care Pathway for FH</w:t>
      </w:r>
    </w:p>
    <w:p w:rsidR="00DC0D1E" w:rsidRDefault="00DC0D1E" w:rsidP="00DC0D1E">
      <w:pPr>
        <w:spacing w:after="0"/>
        <w:rPr>
          <w:noProof/>
          <w:lang w:eastAsia="en-GB"/>
        </w:rPr>
      </w:pPr>
    </w:p>
    <w:p w:rsidR="00DC0D1E" w:rsidRDefault="00DC0D1E" w:rsidP="00DC0D1E">
      <w:pPr>
        <w:spacing w:after="0"/>
        <w:rPr>
          <w:noProof/>
          <w:lang w:eastAsia="en-GB"/>
        </w:rPr>
      </w:pPr>
    </w:p>
    <w:p w:rsidR="00DC0D1E" w:rsidRDefault="00DC0D1E" w:rsidP="00DC0D1E">
      <w:pPr>
        <w:spacing w:after="0"/>
        <w:rPr>
          <w:noProof/>
          <w:lang w:eastAsia="en-GB"/>
        </w:rPr>
      </w:pPr>
    </w:p>
    <w:p w:rsidR="00DC0D1E" w:rsidRDefault="00DC0D1E" w:rsidP="00DC0D1E">
      <w:r w:rsidRPr="008B10E0">
        <w:rPr>
          <w:noProof/>
          <w:lang w:eastAsia="en-GB"/>
        </w:rPr>
        <mc:AlternateContent>
          <mc:Choice Requires="wps">
            <w:drawing>
              <wp:anchor distT="0" distB="0" distL="114300" distR="114300" simplePos="0" relativeHeight="251664384" behindDoc="0" locked="0" layoutInCell="1" allowOverlap="1" wp14:anchorId="5CE76727" wp14:editId="346D1B5C">
                <wp:simplePos x="0" y="0"/>
                <wp:positionH relativeFrom="margin">
                  <wp:posOffset>6261441</wp:posOffset>
                </wp:positionH>
                <wp:positionV relativeFrom="paragraph">
                  <wp:posOffset>3145546</wp:posOffset>
                </wp:positionV>
                <wp:extent cx="87923" cy="114300"/>
                <wp:effectExtent l="0" t="0" r="7620" b="0"/>
                <wp:wrapNone/>
                <wp:docPr id="8" name="Text Box 8"/>
                <wp:cNvGraphicFramePr/>
                <a:graphic xmlns:a="http://schemas.openxmlformats.org/drawingml/2006/main">
                  <a:graphicData uri="http://schemas.microsoft.com/office/word/2010/wordprocessingShape">
                    <wps:wsp>
                      <wps:cNvSpPr txBox="1"/>
                      <wps:spPr>
                        <a:xfrm flipH="1">
                          <a:off x="0" y="0"/>
                          <a:ext cx="87923" cy="114300"/>
                        </a:xfrm>
                        <a:prstGeom prst="rect">
                          <a:avLst/>
                        </a:prstGeom>
                        <a:solidFill>
                          <a:sysClr val="window" lastClr="FFFFFF"/>
                        </a:solidFill>
                        <a:ln w="6350">
                          <a:noFill/>
                        </a:ln>
                      </wps:spPr>
                      <wps:txbx>
                        <w:txbxContent>
                          <w:p w:rsidR="00DC0D1E" w:rsidRDefault="00DC0D1E" w:rsidP="00DC0D1E">
                            <w:permStart w:id="101398040" w:edGrp="everyone"/>
                            <w:permEnd w:id="10139804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E76727" id="_x0000_t202" coordsize="21600,21600" o:spt="202" path="m,l,21600r21600,l21600,xe">
                <v:stroke joinstyle="miter"/>
                <v:path gradientshapeok="t" o:connecttype="rect"/>
              </v:shapetype>
              <v:shape id="Text Box 8" o:spid="_x0000_s1026" type="#_x0000_t202" style="position:absolute;margin-left:493.05pt;margin-top:247.7pt;width:6.9pt;height:9pt;flip:x;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xcSUAIAAJIEAAAOAAAAZHJzL2Uyb0RvYy54bWysVE1PGzEQvVfqf7B8L5uEQCFig1JQ2koI&#10;kKDi7HhtYsnrcW0nu+mv77M3oZT2VDUHy555Ox/vzeTism8t26oQDbmaj49GnCknqTHuuebfHpcf&#10;zjiLSbhGWHKq5jsV+eX8/buLzs/UhNZkGxUYgrg463zN1yn5WVVFuVatiEfklYNTU2hFwjM8V00Q&#10;HaK3tpqMRqdVR6HxgaSKEdbrwcnnJb7WSqY7raNKzNYctaVyhnKu8lnNL8TsOQi/NnJfhviHKlph&#10;HJK+hLoWSbBNMH+Eao0MFEmnI0ltRVobqUoP6GY8etPNw1p4VXoBOdG/0BT/X1h5u70PzDQ1h1BO&#10;tJDoUfWJfaKenWV2Oh9nAD14wFIPM1Q+2COMueleh5Zpa/yX7MwWNMaABOO7F5ZzWAnj2cfzyTFn&#10;Ep7xeHo8KiJUQ5T8rQ8xfVbUsnypeYCGJabY3sSEigA9QDI8kjXN0lhbHrt4ZQPbCsiNKWmo48yK&#10;mGCs+bL8cvEI8dtn1rGu5qfHJ6OSyVGON+CsAzyTMDSbb6lf9XtmVtTsQEygYbCil0uDqm+Q8l4E&#10;TBIYwHakOxzaEpLQ/sbZmsKPv9kzHgLDy1mHyax5/L4RQaGTrw7Sn4+n0zzK5TE9+TjBI7z2rF57&#10;3Ka9IrAxxh56Wa4Zn+zhqgO1T1iiRc4Kl3ASuWueDterNOwLllCqxaKAMLxepBv34OVB8qzJY/8k&#10;gt8LlyD4LR1mWMze6Ddgs2iOFptE2hRxM8EDq3veMfhFsP2S5s16/S6oX38l858AAAD//wMAUEsD&#10;BBQABgAIAAAAIQCM21+R4AAAAAsBAAAPAAAAZHJzL2Rvd25yZXYueG1sTI/BTsMwDIbvSLxDZCRu&#10;LG3pprWrOyGkHXYZYuOyW9qYtqNxSpNt3dsTTuCb5U+/v79YT6YXFxpdZxkhnkUgiGurO24QPg6b&#10;pyUI5xVr1VsmhBs5WJf3d4XKtb3yO132vhEhhF2uEFrvh1xKV7dklJvZgTjcPu1olA/r2Eg9qmsI&#10;N71Momghjeo4fGjVQK8t1V/7s0HYJXQ47pJjtbl901Z3Zvt24gHx8WF6WYHwNPk/GH71gzqUwamy&#10;Z9ZO9AjZchEHFCHN5imIQGRhQFQI8/g5BVkW8n+H8gcAAP//AwBQSwECLQAUAAYACAAAACEAtoM4&#10;kv4AAADhAQAAEwAAAAAAAAAAAAAAAAAAAAAAW0NvbnRlbnRfVHlwZXNdLnhtbFBLAQItABQABgAI&#10;AAAAIQA4/SH/1gAAAJQBAAALAAAAAAAAAAAAAAAAAC8BAABfcmVscy8ucmVsc1BLAQItABQABgAI&#10;AAAAIQDNgxcSUAIAAJIEAAAOAAAAAAAAAAAAAAAAAC4CAABkcnMvZTJvRG9jLnhtbFBLAQItABQA&#10;BgAIAAAAIQCM21+R4AAAAAsBAAAPAAAAAAAAAAAAAAAAAKoEAABkcnMvZG93bnJldi54bWxQSwUG&#10;AAAAAAQABADzAAAAtwUAAAAA&#10;" fillcolor="window" stroked="f" strokeweight=".5pt">
                <v:textbox>
                  <w:txbxContent>
                    <w:p w:rsidR="00DC0D1E" w:rsidRDefault="00DC0D1E" w:rsidP="00DC0D1E">
                      <w:permStart w:id="101398040" w:edGrp="everyone"/>
                      <w:permEnd w:id="101398040"/>
                    </w:p>
                  </w:txbxContent>
                </v:textbox>
                <w10:wrap anchorx="margin"/>
              </v:shape>
            </w:pict>
          </mc:Fallback>
        </mc:AlternateContent>
      </w:r>
      <w:r>
        <w:rPr>
          <w:noProof/>
          <w:lang w:eastAsia="en-GB"/>
        </w:rPr>
        <mc:AlternateContent>
          <mc:Choice Requires="wps">
            <w:drawing>
              <wp:anchor distT="0" distB="0" distL="114300" distR="114300" simplePos="0" relativeHeight="251663360" behindDoc="0" locked="0" layoutInCell="1" allowOverlap="1" wp14:anchorId="58BF6A3E" wp14:editId="425BB3DA">
                <wp:simplePos x="0" y="0"/>
                <wp:positionH relativeFrom="column">
                  <wp:posOffset>310515</wp:posOffset>
                </wp:positionH>
                <wp:positionV relativeFrom="paragraph">
                  <wp:posOffset>2304415</wp:posOffset>
                </wp:positionV>
                <wp:extent cx="2847975" cy="3429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2847975" cy="342900"/>
                        </a:xfrm>
                        <a:prstGeom prst="rect">
                          <a:avLst/>
                        </a:prstGeom>
                        <a:solidFill>
                          <a:schemeClr val="lt1"/>
                        </a:solidFill>
                        <a:ln w="6350">
                          <a:noFill/>
                        </a:ln>
                      </wps:spPr>
                      <wps:txbx>
                        <w:txbxContent>
                          <w:p w:rsidR="00DC0D1E" w:rsidRPr="00D615A0" w:rsidRDefault="00DC0D1E" w:rsidP="00DC0D1E">
                            <w:pPr>
                              <w:rPr>
                                <w:b/>
                                <w:sz w:val="16"/>
                                <w:szCs w:val="16"/>
                              </w:rPr>
                            </w:pPr>
                            <w:permStart w:id="396260039" w:edGrp="everyone"/>
                            <w:r w:rsidRPr="00D615A0">
                              <w:rPr>
                                <w:b/>
                                <w:sz w:val="16"/>
                                <w:szCs w:val="16"/>
                              </w:rPr>
                              <w:t>Review family history of hyperlipidaemia and premature heart disease&lt;60 yrs in first and &lt;50 yrs in second degree relatives</w:t>
                            </w:r>
                            <w:permEnd w:id="39626003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F6A3E" id="Text Box 4" o:spid="_x0000_s1027" type="#_x0000_t202" style="position:absolute;margin-left:24.45pt;margin-top:181.45pt;width:224.2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J8jRQIAAIAEAAAOAAAAZHJzL2Uyb0RvYy54bWysVN9v2jAQfp+0/8Hy+0igoS0RoWJUTJNQ&#10;WwmmPhvHJpEcn2cbEvbX7+wApd2epr0457vz/fi+u0wfukaRg7CuBl3Q4SClRGgOZa13Bf2xWX65&#10;p8R5pkumQIuCHoWjD7PPn6atycUIKlClsASDaJe3pqCV9yZPEscr0TA3ACM0GiXYhnm82l1SWtZi&#10;9EYlozS9TVqwpbHAhXOofeyNdBbjSym4f5bSCU9UQbE2H08bz204k9mU5TvLTFXzUxnsH6poWK0x&#10;6SXUI/OM7G39R6im5hYcSD/g0CQgZc1F7AG7GaYfullXzIjYC4LjzAUm9//C8qfDiyV1WdCMEs0a&#10;pGgjOk++QkeygE5rXI5Oa4NuvkM1snzWO1SGpjtpm/DFdgjaEefjBdsQjKNydJ/dTe7GlHC03WSj&#10;SRrBT95eG+v8NwENCUJBLXIXIWWHlfNYCbqeXUIyB6oul7VS8RLmRSyUJQeGTCsfa8QX77yUJm1B&#10;b2/GaQysITzvIyuNCUKvfU9B8t22i8hc+t1CeUQYLPRj5Axf1ljrijn/wizODXaOu+Cf8ZAKMBec&#10;JEoqsL/+pg/+SCdaKWlxDgvqfu6ZFZSo7xqJngyzLAxuvGTjuxFe7LVle23R+2YBCMAQt87wKAZ/&#10;r86itNC84srMQ1Y0Mc0xd0H9WVz4fjtw5biYz6MTjqphfqXXhofQAfDAxKZ7Zdac6PJI9BOcJ5bl&#10;H1jrfcNLDfO9B1lHSgPOPaon+HHMI9OnlQx7dH2PXm8/jtlvAAAA//8DAFBLAwQUAAYACAAAACEA&#10;M4hPT+IAAAAKAQAADwAAAGRycy9kb3ducmV2LnhtbEyPTU+DQBCG7yb+h82YeDF2aam0IEtjjB+J&#10;N4sf8bZlRyCys4TdAv57x5Pe3sk8eeeZfDfbTow4+NaRguUiAoFUOdNSreClvL/cgvBBk9GdI1Tw&#10;jR52xelJrjPjJnrGcR9qwSXkM62gCaHPpPRVg1b7heuRePfpBqsDj0MtzaAnLredXEVRIq1uiS80&#10;usfbBquv/dEq+Lio35/8/PA6xVdxf/c4lps3Uyp1fjbfXIMIOIc/GH71WR0Kdjq4IxkvOgXrbcqk&#10;gjhZcWBgnW7WIA4clkkKssjl/xeKHwAAAP//AwBQSwECLQAUAAYACAAAACEAtoM4kv4AAADhAQAA&#10;EwAAAAAAAAAAAAAAAAAAAAAAW0NvbnRlbnRfVHlwZXNdLnhtbFBLAQItABQABgAIAAAAIQA4/SH/&#10;1gAAAJQBAAALAAAAAAAAAAAAAAAAAC8BAABfcmVscy8ucmVsc1BLAQItABQABgAIAAAAIQDRkJ8j&#10;RQIAAIAEAAAOAAAAAAAAAAAAAAAAAC4CAABkcnMvZTJvRG9jLnhtbFBLAQItABQABgAIAAAAIQAz&#10;iE9P4gAAAAoBAAAPAAAAAAAAAAAAAAAAAJ8EAABkcnMvZG93bnJldi54bWxQSwUGAAAAAAQABADz&#10;AAAArgUAAAAA&#10;" fillcolor="white [3201]" stroked="f" strokeweight=".5pt">
                <v:textbox>
                  <w:txbxContent>
                    <w:p w:rsidR="00DC0D1E" w:rsidRPr="00D615A0" w:rsidRDefault="00DC0D1E" w:rsidP="00DC0D1E">
                      <w:pPr>
                        <w:rPr>
                          <w:b/>
                          <w:sz w:val="16"/>
                          <w:szCs w:val="16"/>
                        </w:rPr>
                      </w:pPr>
                      <w:permStart w:id="396260039" w:edGrp="everyone"/>
                      <w:r w:rsidRPr="00D615A0">
                        <w:rPr>
                          <w:b/>
                          <w:sz w:val="16"/>
                          <w:szCs w:val="16"/>
                        </w:rPr>
                        <w:t>Review family history of hyperlipidaemia and premature heart disease&lt;60 yrs in first and &lt;50 yrs in second degree relatives</w:t>
                      </w:r>
                      <w:permEnd w:id="396260039"/>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530F782D" wp14:editId="13824937">
                <wp:simplePos x="0" y="0"/>
                <wp:positionH relativeFrom="column">
                  <wp:posOffset>5158740</wp:posOffset>
                </wp:positionH>
                <wp:positionV relativeFrom="paragraph">
                  <wp:posOffset>4542790</wp:posOffset>
                </wp:positionV>
                <wp:extent cx="76200" cy="95250"/>
                <wp:effectExtent l="0" t="0" r="0" b="0"/>
                <wp:wrapNone/>
                <wp:docPr id="3" name="Text Box 3"/>
                <wp:cNvGraphicFramePr/>
                <a:graphic xmlns:a="http://schemas.openxmlformats.org/drawingml/2006/main">
                  <a:graphicData uri="http://schemas.microsoft.com/office/word/2010/wordprocessingShape">
                    <wps:wsp>
                      <wps:cNvSpPr txBox="1"/>
                      <wps:spPr>
                        <a:xfrm flipH="1">
                          <a:off x="0" y="0"/>
                          <a:ext cx="76200" cy="95250"/>
                        </a:xfrm>
                        <a:prstGeom prst="rect">
                          <a:avLst/>
                        </a:prstGeom>
                        <a:solidFill>
                          <a:schemeClr val="bg1"/>
                        </a:solidFill>
                        <a:ln w="6350">
                          <a:noFill/>
                        </a:ln>
                      </wps:spPr>
                      <wps:txbx>
                        <w:txbxContent>
                          <w:p w:rsidR="00DC0D1E" w:rsidRDefault="00DC0D1E" w:rsidP="00DC0D1E">
                            <w:permStart w:id="800470891" w:edGrp="everyone"/>
                            <w:permEnd w:id="80047089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F782D" id="Text Box 3" o:spid="_x0000_s1028" type="#_x0000_t202" style="position:absolute;margin-left:406.2pt;margin-top:357.7pt;width:6pt;height: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xn8RwIAAIcEAAAOAAAAZHJzL2Uyb0RvYy54bWysVE1v2zAMvQ/YfxB0X52kX2tQp8hadBtQ&#10;tAXaoWdFlhIBsqhJSuzu1+9Jjruu22nYRaDIZ1J8j/T5Rd9atlMhGnI1nx5MOFNOUmPcuubfHq8/&#10;fOQsJuEaYcmpmj+ryC8W79+dd36uZrQh26jAkMTFeedrvknJz6sqyo1qRTwgrxyCmkIrEq5hXTVB&#10;dMje2mo2mZxUHYXGB5IqRnivhiBflPxaK5nutI4qMVtzvC2VM5Rzlc9qcS7m6yD8xsj9M8Q/vKIV&#10;xqHoS6orkQTbBvNHqtbIQJF0OpDUVqS1kar0gG6mkzfdPGyEV6UXkBP9C03x/6WVt7v7wExT80PO&#10;nGgh0aPqE/tEPTvM7HQ+zgF68IClHm6oPPojnLnpXoeWaWv8lxzMHjTGgATjzy8s57QSztMTCMeZ&#10;ROTseHZcNKiGJPlTH2L6rKhl2ah5gIQlpdjdxIQHATpCMjySNc21sbZc8tioSxvYTkDw1bo8FV/8&#10;hrKOdTU/OUTp/JGj/PmQ2ToUyC0PrWUr9au+EDQb215R8ww2Ag3TFL28NnjrjYjpXgSMD7rDSqQ7&#10;HNoSatHe4mxD4cff/BkPVRHlrMM41jx+34qgOLNfHfQ+mx4d5fktl6Pj0xku4XVk9Tritu0lgYAp&#10;ls/LYmZ8sqOpA7VP2JxlroqQcBK1a55G8zINS4LNk2q5LCBMrBfpxj14OeqclXjsn0Twe7kSVL6l&#10;cXDF/I1qA3ZgfblNpE2RNPM8sLqnH9NelN5vZl6n1/eC+vX/WPwEAAD//wMAUEsDBBQABgAIAAAA&#10;IQBs6UOu4gAAAAsBAAAPAAAAZHJzL2Rvd25yZXYueG1sTI9BS8QwEIXvgv8hjODNTdutGmrTRYQV&#10;hQVxFdTbbDO2xSYpTXa39dc7nvT2Zt7jzTflarK9ONAYOu80pIsEBLnam841Gl5f1hcKRIjoDPbe&#10;kYaZAqyq05MSC+OP7pkO29gILnGhQA1tjEMhZahbshgWfiDH3qcfLUYex0aaEY9cbnuZJcmVtNg5&#10;vtDiQHct1V/bvdUwvT/ePzxls1ovN/P4NtfqA783Wp+fTbc3ICJN8S8Mv/iMDhUz7fzemSB6DSrN&#10;co5quE4vWXBCZTmLHW+WSQ6yKuX/H6ofAAAA//8DAFBLAQItABQABgAIAAAAIQC2gziS/gAAAOEB&#10;AAATAAAAAAAAAAAAAAAAAAAAAABbQ29udGVudF9UeXBlc10ueG1sUEsBAi0AFAAGAAgAAAAhADj9&#10;If/WAAAAlAEAAAsAAAAAAAAAAAAAAAAALwEAAF9yZWxzLy5yZWxzUEsBAi0AFAAGAAgAAAAhAE+b&#10;GfxHAgAAhwQAAA4AAAAAAAAAAAAAAAAALgIAAGRycy9lMm9Eb2MueG1sUEsBAi0AFAAGAAgAAAAh&#10;AGzpQ67iAAAACwEAAA8AAAAAAAAAAAAAAAAAoQQAAGRycy9kb3ducmV2LnhtbFBLBQYAAAAABAAE&#10;APMAAACwBQAAAAA=&#10;" fillcolor="white [3212]" stroked="f" strokeweight=".5pt">
                <v:textbox>
                  <w:txbxContent>
                    <w:p w:rsidR="00DC0D1E" w:rsidRDefault="00DC0D1E" w:rsidP="00DC0D1E">
                      <w:permStart w:id="800470891" w:edGrp="everyone"/>
                      <w:permEnd w:id="800470891"/>
                    </w:p>
                  </w:txbxContent>
                </v:textbox>
              </v:shape>
            </w:pict>
          </mc:Fallback>
        </mc:AlternateContent>
      </w:r>
      <w:r w:rsidRPr="001C0EAB">
        <w:rPr>
          <w:noProof/>
          <w:lang w:eastAsia="en-GB"/>
        </w:rPr>
        <w:drawing>
          <wp:inline distT="0" distB="0" distL="0" distR="0" wp14:anchorId="083F87EB" wp14:editId="084DFA0C">
            <wp:extent cx="8081645" cy="47274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081645" cy="4727441"/>
                    </a:xfrm>
                    <a:prstGeom prst="rect">
                      <a:avLst/>
                    </a:prstGeom>
                    <a:noFill/>
                    <a:ln>
                      <a:noFill/>
                    </a:ln>
                  </pic:spPr>
                </pic:pic>
              </a:graphicData>
            </a:graphic>
          </wp:inline>
        </w:drawing>
      </w:r>
    </w:p>
    <w:p w:rsidR="00DC0D1E" w:rsidRDefault="00DC0D1E" w:rsidP="00DC0D1E">
      <w:pPr>
        <w:spacing w:after="0"/>
        <w:sectPr w:rsidR="00DC0D1E" w:rsidSect="00F9019D">
          <w:headerReference w:type="default" r:id="rId41"/>
          <w:pgSz w:w="16838" w:h="11906" w:orient="landscape" w:code="9"/>
          <w:pgMar w:top="1440" w:right="2410" w:bottom="1440" w:left="1701" w:header="709" w:footer="709" w:gutter="0"/>
          <w:cols w:space="708"/>
          <w:docGrid w:linePitch="360"/>
        </w:sectPr>
      </w:pPr>
    </w:p>
    <w:p w:rsidR="00DC0D1E" w:rsidRPr="001C0EAB" w:rsidRDefault="00DC0D1E" w:rsidP="00DC0D1E">
      <w:pPr>
        <w:spacing w:line="360" w:lineRule="auto"/>
        <w:ind w:left="360" w:firstLine="720"/>
        <w:jc w:val="both"/>
        <w:rPr>
          <w:rFonts w:cstheme="minorHAnsi"/>
          <w:b/>
          <w:sz w:val="28"/>
          <w:szCs w:val="28"/>
        </w:rPr>
      </w:pPr>
      <w:r w:rsidRPr="001C0EAB">
        <w:rPr>
          <w:rFonts w:cstheme="minorHAnsi"/>
          <w:b/>
          <w:sz w:val="28"/>
          <w:szCs w:val="28"/>
        </w:rPr>
        <w:t>Appendix B</w:t>
      </w:r>
      <w:r>
        <w:rPr>
          <w:rFonts w:cstheme="minorHAnsi"/>
          <w:b/>
          <w:sz w:val="28"/>
          <w:szCs w:val="28"/>
        </w:rPr>
        <w:t xml:space="preserve">: </w:t>
      </w:r>
      <w:r w:rsidRPr="001C0EAB">
        <w:rPr>
          <w:rFonts w:cstheme="minorHAnsi"/>
          <w:b/>
          <w:sz w:val="28"/>
          <w:szCs w:val="28"/>
        </w:rPr>
        <w:t>Primary CVD Prevention Pathway</w:t>
      </w:r>
    </w:p>
    <w:p w:rsidR="00DC0D1E" w:rsidRDefault="00DC0D1E" w:rsidP="00DC0D1E">
      <w:pPr>
        <w:spacing w:after="0"/>
      </w:pPr>
    </w:p>
    <w:p w:rsidR="00DC0D1E" w:rsidRDefault="00DC0D1E" w:rsidP="00DC0D1E">
      <w:r>
        <w:rPr>
          <w:noProof/>
          <w:lang w:eastAsia="en-GB"/>
        </w:rPr>
        <w:drawing>
          <wp:inline distT="0" distB="0" distL="0" distR="0" wp14:anchorId="327E5043" wp14:editId="32D9F322">
            <wp:extent cx="8884285" cy="49788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886832" cy="4980285"/>
                    </a:xfrm>
                    <a:prstGeom prst="rect">
                      <a:avLst/>
                    </a:prstGeom>
                  </pic:spPr>
                </pic:pic>
              </a:graphicData>
            </a:graphic>
          </wp:inline>
        </w:drawing>
      </w:r>
    </w:p>
    <w:p w:rsidR="00DC0D1E" w:rsidRDefault="00DC0D1E" w:rsidP="00DC0D1E">
      <w:pPr>
        <w:rPr>
          <w:rFonts w:cstheme="minorHAnsi"/>
          <w:b/>
          <w:sz w:val="28"/>
          <w:szCs w:val="28"/>
        </w:rPr>
      </w:pPr>
      <w:r w:rsidRPr="001C0EAB">
        <w:rPr>
          <w:rFonts w:cstheme="minorHAnsi"/>
          <w:b/>
          <w:sz w:val="28"/>
          <w:szCs w:val="28"/>
        </w:rPr>
        <w:t>Appendix C</w:t>
      </w:r>
      <w:r>
        <w:rPr>
          <w:rFonts w:cstheme="minorHAnsi"/>
          <w:b/>
          <w:sz w:val="28"/>
          <w:szCs w:val="28"/>
        </w:rPr>
        <w:t xml:space="preserve">: </w:t>
      </w:r>
      <w:r w:rsidRPr="001C0EAB">
        <w:rPr>
          <w:rFonts w:cstheme="minorHAnsi"/>
          <w:b/>
          <w:sz w:val="28"/>
          <w:szCs w:val="28"/>
        </w:rPr>
        <w:t>Secondary CVD Prevention Pathway</w:t>
      </w:r>
    </w:p>
    <w:p w:rsidR="00DC0D1E" w:rsidRDefault="00DC0D1E" w:rsidP="00DC0D1E">
      <w:pPr>
        <w:rPr>
          <w:rFonts w:cstheme="minorHAnsi"/>
          <w:b/>
          <w:sz w:val="28"/>
          <w:szCs w:val="28"/>
        </w:rPr>
      </w:pPr>
      <w:r>
        <w:rPr>
          <w:noProof/>
          <w:lang w:eastAsia="en-GB"/>
        </w:rPr>
        <w:drawing>
          <wp:inline distT="0" distB="0" distL="0" distR="0" wp14:anchorId="6E511C31" wp14:editId="38B37086">
            <wp:extent cx="8081645" cy="45758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081645" cy="4575810"/>
                    </a:xfrm>
                    <a:prstGeom prst="rect">
                      <a:avLst/>
                    </a:prstGeom>
                  </pic:spPr>
                </pic:pic>
              </a:graphicData>
            </a:graphic>
          </wp:inline>
        </w:drawing>
      </w:r>
    </w:p>
    <w:p w:rsidR="00DC0D1E" w:rsidRPr="00DC2F6B" w:rsidRDefault="00DC0D1E" w:rsidP="00DC0D1E">
      <w:r w:rsidRPr="00DC2F6B">
        <w:rPr>
          <w:rFonts w:cstheme="minorHAnsi"/>
          <w:b/>
          <w:noProof/>
          <w:sz w:val="28"/>
          <w:szCs w:val="28"/>
          <w:lang w:eastAsia="en-GB"/>
        </w:rPr>
        <mc:AlternateContent>
          <mc:Choice Requires="wps">
            <w:drawing>
              <wp:anchor distT="45720" distB="45720" distL="114300" distR="114300" simplePos="0" relativeHeight="251659264" behindDoc="0" locked="0" layoutInCell="1" allowOverlap="1" wp14:anchorId="56F08DBC" wp14:editId="657A42F5">
                <wp:simplePos x="0" y="0"/>
                <wp:positionH relativeFrom="column">
                  <wp:posOffset>-403860</wp:posOffset>
                </wp:positionH>
                <wp:positionV relativeFrom="paragraph">
                  <wp:posOffset>323850</wp:posOffset>
                </wp:positionV>
                <wp:extent cx="9401175" cy="52006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1175" cy="5200650"/>
                        </a:xfrm>
                        <a:prstGeom prst="rect">
                          <a:avLst/>
                        </a:prstGeom>
                        <a:solidFill>
                          <a:srgbClr val="FFFFFF"/>
                        </a:solidFill>
                        <a:ln w="9525">
                          <a:noFill/>
                          <a:miter lim="800000"/>
                          <a:headEnd/>
                          <a:tailEnd/>
                        </a:ln>
                      </wps:spPr>
                      <wps:txbx>
                        <w:txbxContent>
                          <w:p w:rsidR="00DC0D1E" w:rsidRDefault="00DC0D1E" w:rsidP="00DC0D1E">
                            <w:permStart w:id="1242048199" w:edGrp="everyone"/>
                            <w:r>
                              <w:rPr>
                                <w:noProof/>
                                <w:lang w:eastAsia="en-GB"/>
                              </w:rPr>
                              <w:drawing>
                                <wp:inline distT="0" distB="0" distL="0" distR="0">
                                  <wp:extent cx="4000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0050" cy="133350"/>
                                          </a:xfrm>
                                          <a:prstGeom prst="rect">
                                            <a:avLst/>
                                          </a:prstGeom>
                                          <a:noFill/>
                                          <a:ln>
                                            <a:noFill/>
                                          </a:ln>
                                        </pic:spPr>
                                      </pic:pic>
                                    </a:graphicData>
                                  </a:graphic>
                                </wp:inline>
                              </w:drawing>
                            </w:r>
                            <w:r>
                              <w:rPr>
                                <w:noProof/>
                                <w:lang w:eastAsia="en-GB"/>
                              </w:rPr>
                              <w:drawing>
                                <wp:inline distT="0" distB="0" distL="0" distR="0" wp14:anchorId="788F4390" wp14:editId="2B1FF2B6">
                                  <wp:extent cx="8343900" cy="5219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943" b="2243"/>
                                          <a:stretch/>
                                        </pic:blipFill>
                                        <pic:spPr bwMode="auto">
                                          <a:xfrm>
                                            <a:off x="0" y="0"/>
                                            <a:ext cx="8371334" cy="5236862"/>
                                          </a:xfrm>
                                          <a:prstGeom prst="rect">
                                            <a:avLst/>
                                          </a:prstGeom>
                                          <a:ln>
                                            <a:noFill/>
                                          </a:ln>
                                          <a:extLst>
                                            <a:ext uri="{53640926-AAD7-44D8-BBD7-CCE9431645EC}">
                                              <a14:shadowObscured xmlns:a14="http://schemas.microsoft.com/office/drawing/2010/main"/>
                                            </a:ext>
                                          </a:extLst>
                                        </pic:spPr>
                                      </pic:pic>
                                    </a:graphicData>
                                  </a:graphic>
                                </wp:inline>
                              </w:drawing>
                            </w:r>
                            <w:permEnd w:id="124204819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08DBC" id="Text Box 2" o:spid="_x0000_s1029" type="#_x0000_t202" style="position:absolute;margin-left:-31.8pt;margin-top:25.5pt;width:740.25pt;height:40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rcpIgIAACUEAAAOAAAAZHJzL2Uyb0RvYy54bWysU9uO2yAQfa/Uf0C8N740aXatOKtttqkq&#10;bS/Sbj8AYxyjAkOBxE6/vgNO0mj7VpUHxMBwOHPOsLobtSIH4bwEU9NillMiDIdWml1Nvz9v39xQ&#10;4gMzLVNgRE2PwtO79etXq8FWooQeVCscQRDjq8HWtA/BVlnmeS808zOwwuBhB06zgKHbZa1jA6Jr&#10;lZV5/i4bwLXWARfe4+7DdEjXCb/rBA9fu86LQFRNkVtIs0tzE+dsvWLVzjHbS36iwf6BhWbS4KMX&#10;qAcWGNk7+ReUltyBhy7MOOgMuk5ykWrAaor8RTVPPbMi1YLieHuRyf8/WP7l8M0R2da0LJaUGKbR&#10;pGcxBvIeRlJGfQbrK0x7spgYRtxGn1Ot3j4C/+GJgU3PzE7cOwdDL1iL/Ip4M7u6OuH4CNIMn6HF&#10;Z9g+QAIaO6ejeCgHQXT06XjxJlLhuHk7z4tiuaCE49kiWr9I7mWsOl+3zoePAjSJi5o6ND/Bs8Oj&#10;D5EOq84p8TUPSrZbqVQK3K7ZKEcODBtlm0aq4EWaMmRALotykZANxPuph7QM2MhK6pre5HFMrRXl&#10;+GDalBKYVNMamShz0idKMokTxmZMVrw9y95Ae0TBHEx9i/8MFz24X5QM2LM19T/3zAlK1CeDot8W&#10;83ls8hTMF8sSA3d90lyfMMMRqqaBkmm5CeljRDkM3KM5nUyyRRcnJifK2ItJzdO/ic1+HaesP797&#10;/RsAAP//AwBQSwMEFAAGAAgAAAAhAJDs+ljfAAAACwEAAA8AAABkcnMvZG93bnJldi54bWxMj0Fu&#10;wjAQRfeVegdrKnVTgZ0WHAhxUFupVbdQDuDEQxIRj6PYkHD7mlVZjubp//fz7WQ7dsHBt44UJHMB&#10;DKlypqVaweH3a7YC5oMmoztHqOCKHrbF40OuM+NG2uFlH2oWQ8hnWkETQp9x7qsGrfZz1yPF39EN&#10;Vod4DjU3gx5juO34qxCSW91SbGh0j58NVqf92So4/owvy/VYfodDulvID92mpbsq9fw0vW+ABZzC&#10;Pww3/agORXQq3ZmMZ52CmXyTEVWwTOKmG7BI5BpYqWCVCgG8yPn9huIPAAD//wMAUEsBAi0AFAAG&#10;AAgAAAAhALaDOJL+AAAA4QEAABMAAAAAAAAAAAAAAAAAAAAAAFtDb250ZW50X1R5cGVzXS54bWxQ&#10;SwECLQAUAAYACAAAACEAOP0h/9YAAACUAQAACwAAAAAAAAAAAAAAAAAvAQAAX3JlbHMvLnJlbHNQ&#10;SwECLQAUAAYACAAAACEA2ja3KSICAAAlBAAADgAAAAAAAAAAAAAAAAAuAgAAZHJzL2Uyb0RvYy54&#10;bWxQSwECLQAUAAYACAAAACEAkOz6WN8AAAALAQAADwAAAAAAAAAAAAAAAAB8BAAAZHJzL2Rvd25y&#10;ZXYueG1sUEsFBgAAAAAEAAQA8wAAAIgFAAAAAA==&#10;" stroked="f">
                <v:textbox>
                  <w:txbxContent>
                    <w:p w:rsidR="00DC0D1E" w:rsidRDefault="00DC0D1E" w:rsidP="00DC0D1E">
                      <w:permStart w:id="1242048199" w:edGrp="everyone"/>
                      <w:r>
                        <w:rPr>
                          <w:noProof/>
                          <w:lang w:eastAsia="en-GB"/>
                        </w:rPr>
                        <w:drawing>
                          <wp:inline distT="0" distB="0" distL="0" distR="0">
                            <wp:extent cx="4000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0050" cy="133350"/>
                                    </a:xfrm>
                                    <a:prstGeom prst="rect">
                                      <a:avLst/>
                                    </a:prstGeom>
                                    <a:noFill/>
                                    <a:ln>
                                      <a:noFill/>
                                    </a:ln>
                                  </pic:spPr>
                                </pic:pic>
                              </a:graphicData>
                            </a:graphic>
                          </wp:inline>
                        </w:drawing>
                      </w:r>
                      <w:r>
                        <w:rPr>
                          <w:noProof/>
                          <w:lang w:eastAsia="en-GB"/>
                        </w:rPr>
                        <w:drawing>
                          <wp:inline distT="0" distB="0" distL="0" distR="0" wp14:anchorId="788F4390" wp14:editId="2B1FF2B6">
                            <wp:extent cx="8343900" cy="5219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943" b="2243"/>
                                    <a:stretch/>
                                  </pic:blipFill>
                                  <pic:spPr bwMode="auto">
                                    <a:xfrm>
                                      <a:off x="0" y="0"/>
                                      <a:ext cx="8371334" cy="5236862"/>
                                    </a:xfrm>
                                    <a:prstGeom prst="rect">
                                      <a:avLst/>
                                    </a:prstGeom>
                                    <a:ln>
                                      <a:noFill/>
                                    </a:ln>
                                    <a:extLst>
                                      <a:ext uri="{53640926-AAD7-44D8-BBD7-CCE9431645EC}">
                                        <a14:shadowObscured xmlns:a14="http://schemas.microsoft.com/office/drawing/2010/main"/>
                                      </a:ext>
                                    </a:extLst>
                                  </pic:spPr>
                                </pic:pic>
                              </a:graphicData>
                            </a:graphic>
                          </wp:inline>
                        </w:drawing>
                      </w:r>
                      <w:permEnd w:id="1242048199"/>
                    </w:p>
                  </w:txbxContent>
                </v:textbox>
                <w10:wrap type="square"/>
              </v:shape>
            </w:pict>
          </mc:Fallback>
        </mc:AlternateContent>
      </w:r>
      <w:r w:rsidRPr="00DC2F6B">
        <w:rPr>
          <w:rFonts w:cstheme="minorHAnsi"/>
          <w:b/>
          <w:noProof/>
          <w:sz w:val="28"/>
          <w:szCs w:val="28"/>
          <w:lang w:eastAsia="en-GB"/>
        </w:rPr>
        <mc:AlternateContent>
          <mc:Choice Requires="wps">
            <w:drawing>
              <wp:anchor distT="45720" distB="45720" distL="114300" distR="114300" simplePos="0" relativeHeight="251660288" behindDoc="0" locked="0" layoutInCell="1" allowOverlap="1" wp14:anchorId="1E678CCB" wp14:editId="05910EC8">
                <wp:simplePos x="0" y="0"/>
                <wp:positionH relativeFrom="column">
                  <wp:posOffset>-146685</wp:posOffset>
                </wp:positionH>
                <wp:positionV relativeFrom="paragraph">
                  <wp:posOffset>0</wp:posOffset>
                </wp:positionV>
                <wp:extent cx="3838575" cy="314325"/>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314325"/>
                        </a:xfrm>
                        <a:prstGeom prst="rect">
                          <a:avLst/>
                        </a:prstGeom>
                        <a:noFill/>
                        <a:ln w="9525">
                          <a:noFill/>
                          <a:miter lim="800000"/>
                          <a:headEnd/>
                          <a:tailEnd/>
                        </a:ln>
                      </wps:spPr>
                      <wps:txbx>
                        <w:txbxContent>
                          <w:p w:rsidR="00DC0D1E" w:rsidRDefault="00DC0D1E" w:rsidP="00DC0D1E">
                            <w:permStart w:id="65497044" w:edGrp="everyone"/>
                            <w:r w:rsidRPr="001C0EAB">
                              <w:rPr>
                                <w:rFonts w:cstheme="minorHAnsi"/>
                                <w:b/>
                                <w:sz w:val="28"/>
                                <w:szCs w:val="28"/>
                              </w:rPr>
                              <w:t>Appendix D</w:t>
                            </w:r>
                            <w:r>
                              <w:rPr>
                                <w:rFonts w:cstheme="minorHAnsi"/>
                                <w:b/>
                                <w:sz w:val="28"/>
                                <w:szCs w:val="28"/>
                              </w:rPr>
                              <w:t xml:space="preserve">: </w:t>
                            </w:r>
                            <w:r w:rsidRPr="001C0EAB">
                              <w:rPr>
                                <w:rFonts w:cstheme="minorHAnsi"/>
                                <w:b/>
                                <w:sz w:val="28"/>
                                <w:szCs w:val="28"/>
                              </w:rPr>
                              <w:t>Statin Intolerance</w:t>
                            </w:r>
                            <w:r>
                              <w:rPr>
                                <w:rFonts w:cstheme="minorHAnsi"/>
                                <w:b/>
                                <w:sz w:val="28"/>
                                <w:szCs w:val="28"/>
                              </w:rPr>
                              <w:t xml:space="preserve"> Pathway</w:t>
                            </w:r>
                            <w:permEnd w:id="6549704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78CCB" id="_x0000_s1030" type="#_x0000_t202" style="position:absolute;margin-left:-11.55pt;margin-top:0;width:302.25pt;height:24.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pzDgIAAPoDAAAOAAAAZHJzL2Uyb0RvYy54bWysU9tuGyEQfa/Uf0C812uv7cZZGUdp0lSV&#10;0ouU9ANYlvWiAkMBe9f9+gys7VrpW1Ue0MAMZ+acGdY3g9FkL31QYBmdTaaUSCugUXbL6I/nh3cr&#10;SkLktuEarGT0IAO92bx9s+5dJUvoQDfSEwSxoeodo12MriqKIDppeJiAkxadLXjDIx79tmg87xHd&#10;6KKcTt8XPfjGeRAyBLy9H510k/HbVor4rW2DjEQzirXFvPu812kvNmtebT13nRLHMvg/VGG4spj0&#10;DHXPIyc7r/6CMkp4CNDGiQBTQNsqITMHZDObvmLz1HEnMxcUJ7izTOH/wYqv+++eqIbRck6J5QZ7&#10;9CyHSD7AQMokT+9ChVFPDuPigNfY5kw1uEcQPwOxcNdxu5W33kPfSd5gebP0srh4OuKEBFL3X6DB&#10;NHwXIQMNrTdJO1SDIDq26XBuTSpF4OV8NV8tr5aUCPTNZ4t5ucwpeHV67XyInyQYkgxGPbY+o/P9&#10;Y4ipGl6dQlIyCw9K69x+bUnP6PUSIV95jIo4nVoZRlfTtMZ5SSQ/2iY/jlzp0cYE2h5ZJ6Ij5TjU&#10;Q9Z3cRKzhuaAMngYhxE/Dxod+N+U9DiIjIZfO+4lJfqzRSmvZ4tFmtx8WCyvSjz4S0996eFWIBSj&#10;kZLRvIt52kdityh5q7IaqTdjJceSccCySMfPkCb48pyj/nzZzQsAAAD//wMAUEsDBBQABgAIAAAA&#10;IQCK19UR3AAAAAcBAAAPAAAAZHJzL2Rvd25yZXYueG1sTI/NTsMwEITvSLyDtUjcWjslQW3IpkIg&#10;riDKj8TNTbZJRLyOYrcJb89yosfRjGa+Kbaz69WJxtB5RkiWBhRx5euOG4T3t6fFGlSIlmvbeyaE&#10;HwqwLS8vCpvXfuJXOu1io6SEQ24R2hiHXOtQteRsWPqBWLyDH52NIsdG16OdpNz1emXMrXa2Y1lo&#10;7UAPLVXfu6ND+Hg+fH2m5qV5dNkw+dlodhuNeH0139+BijTH/zD84Qs6lMK090eug+oRFqubRKII&#10;8kjsbJ2koPYI6SYDXRb6nL/8BQAA//8DAFBLAQItABQABgAIAAAAIQC2gziS/gAAAOEBAAATAAAA&#10;AAAAAAAAAAAAAAAAAABbQ29udGVudF9UeXBlc10ueG1sUEsBAi0AFAAGAAgAAAAhADj9If/WAAAA&#10;lAEAAAsAAAAAAAAAAAAAAAAALwEAAF9yZWxzLy5yZWxzUEsBAi0AFAAGAAgAAAAhAEUqynMOAgAA&#10;+gMAAA4AAAAAAAAAAAAAAAAALgIAAGRycy9lMm9Eb2MueG1sUEsBAi0AFAAGAAgAAAAhAIrX1RHc&#10;AAAABwEAAA8AAAAAAAAAAAAAAAAAaAQAAGRycy9kb3ducmV2LnhtbFBLBQYAAAAABAAEAPMAAABx&#10;BQAAAAA=&#10;" filled="f" stroked="f">
                <v:textbox>
                  <w:txbxContent>
                    <w:p w:rsidR="00DC0D1E" w:rsidRDefault="00DC0D1E" w:rsidP="00DC0D1E">
                      <w:permStart w:id="65497044" w:edGrp="everyone"/>
                      <w:r w:rsidRPr="001C0EAB">
                        <w:rPr>
                          <w:rFonts w:cstheme="minorHAnsi"/>
                          <w:b/>
                          <w:sz w:val="28"/>
                          <w:szCs w:val="28"/>
                        </w:rPr>
                        <w:t>Appendix D</w:t>
                      </w:r>
                      <w:r>
                        <w:rPr>
                          <w:rFonts w:cstheme="minorHAnsi"/>
                          <w:b/>
                          <w:sz w:val="28"/>
                          <w:szCs w:val="28"/>
                        </w:rPr>
                        <w:t xml:space="preserve">: </w:t>
                      </w:r>
                      <w:r w:rsidRPr="001C0EAB">
                        <w:rPr>
                          <w:rFonts w:cstheme="minorHAnsi"/>
                          <w:b/>
                          <w:sz w:val="28"/>
                          <w:szCs w:val="28"/>
                        </w:rPr>
                        <w:t>Statin Intolerance</w:t>
                      </w:r>
                      <w:r>
                        <w:rPr>
                          <w:rFonts w:cstheme="minorHAnsi"/>
                          <w:b/>
                          <w:sz w:val="28"/>
                          <w:szCs w:val="28"/>
                        </w:rPr>
                        <w:t xml:space="preserve"> Pathway</w:t>
                      </w:r>
                      <w:permEnd w:id="65497044"/>
                    </w:p>
                  </w:txbxContent>
                </v:textbox>
                <w10:wrap type="square"/>
              </v:shape>
            </w:pict>
          </mc:Fallback>
        </mc:AlternateContent>
      </w:r>
    </w:p>
    <w:p w:rsidR="00DC0D1E" w:rsidRDefault="00DC0D1E" w:rsidP="00DC0D1E">
      <w:pPr>
        <w:jc w:val="both"/>
        <w:rPr>
          <w:rFonts w:cstheme="minorHAnsi"/>
          <w:b/>
          <w:sz w:val="28"/>
          <w:szCs w:val="28"/>
        </w:rPr>
      </w:pPr>
      <w:r w:rsidRPr="00DC2F6B">
        <w:rPr>
          <w:rFonts w:cstheme="minorHAnsi"/>
          <w:b/>
          <w:noProof/>
          <w:sz w:val="28"/>
          <w:szCs w:val="28"/>
          <w:lang w:eastAsia="en-GB"/>
        </w:rPr>
        <mc:AlternateContent>
          <mc:Choice Requires="wps">
            <w:drawing>
              <wp:anchor distT="45720" distB="45720" distL="114300" distR="114300" simplePos="0" relativeHeight="251661312" behindDoc="0" locked="0" layoutInCell="1" allowOverlap="1" wp14:anchorId="28F0C9A0" wp14:editId="3873D717">
                <wp:simplePos x="0" y="0"/>
                <wp:positionH relativeFrom="column">
                  <wp:posOffset>-441960</wp:posOffset>
                </wp:positionH>
                <wp:positionV relativeFrom="paragraph">
                  <wp:posOffset>161925</wp:posOffset>
                </wp:positionV>
                <wp:extent cx="9239250" cy="5419725"/>
                <wp:effectExtent l="0" t="0" r="0"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0" cy="5419725"/>
                        </a:xfrm>
                        <a:prstGeom prst="rect">
                          <a:avLst/>
                        </a:prstGeom>
                        <a:solidFill>
                          <a:srgbClr val="FFFFFF"/>
                        </a:solidFill>
                        <a:ln w="9525">
                          <a:noFill/>
                          <a:miter lim="800000"/>
                          <a:headEnd/>
                          <a:tailEnd/>
                        </a:ln>
                      </wps:spPr>
                      <wps:txbx>
                        <w:txbxContent>
                          <w:p w:rsidR="00DC0D1E" w:rsidRDefault="00DC0D1E" w:rsidP="00DC0D1E">
                            <w:permStart w:id="1715756827" w:edGrp="everyone"/>
                            <w:r>
                              <w:rPr>
                                <w:noProof/>
                                <w:lang w:eastAsia="en-GB"/>
                              </w:rPr>
                              <w:drawing>
                                <wp:inline distT="0" distB="0" distL="0" distR="0" wp14:anchorId="7F8FDC97" wp14:editId="4D0E99DF">
                                  <wp:extent cx="9267825" cy="54673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9316211" cy="5495894"/>
                                          </a:xfrm>
                                          <a:prstGeom prst="rect">
                                            <a:avLst/>
                                          </a:prstGeom>
                                        </pic:spPr>
                                      </pic:pic>
                                    </a:graphicData>
                                  </a:graphic>
                                </wp:inline>
                              </w:drawing>
                            </w:r>
                            <w:permEnd w:id="171575682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0C9A0" id="_x0000_s1031" type="#_x0000_t202" style="position:absolute;left:0;text-align:left;margin-left:-34.8pt;margin-top:12.75pt;width:727.5pt;height:426.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wdIgIAACQEAAAOAAAAZHJzL2Uyb0RvYy54bWysU81u2zAMvg/YOwi6L068ZG2MOEWXLsOA&#10;7gdo9wC0LMfCJNGTlNjZ05eS0zTbbsN0EEiR/Eh+pFY3g9HsIJ1XaEs+m0w5k1Zgreyu5N8ft2+u&#10;OfMBbA0arSz5UXp+s379atV3hcyxRV1LxwjE+qLvSt6G0BVZ5kUrDfgJdtKSsUFnIJDqdlntoCd0&#10;o7N8On2X9ejqzqGQ3tPr3Wjk64TfNFKEr03jZWC65FRbSLdLdxXvbL2CYuega5U4lQH/UIUBZSnp&#10;GeoOArC9U39BGSUcemzCRKDJsGmUkKkH6mY2/aObhxY6mXohcnx3psn/P1jx5fDNMVWXPF9yZsHQ&#10;jB7lENh7HFge6ek7X5DXQ0d+YaBnGnNq1Xf3KH54ZnHTgt3JW+ewbyXUVN4sRmYXoSOOjyBV/xlr&#10;SgP7gAloaJyJ3BEbjNBpTMfzaGIpgh6X+dtlviCTINtiPlte5YuUA4rn8M758FGiYVEouaPZJ3g4&#10;3PsQy4Hi2SVm86hVvVVaJ8Xtqo127AC0J9t0Tui/uWnLeqplQbljlMUYn1bIqEB7rJUp+fU0nhgO&#10;RaTjg62THEDpUaZKtD3xEykZyQlDNaRJpMYidxXWRyLM4bi29M1IaNH94qynlS25/7kHJznTnyyR&#10;vpzN53HHkzJfXOWkuEtLdWkBKwiq5IGzUdyE9C/Gxm5pOI1KtL1UciqZVjGxefo2cdcv9eT18rnX&#10;TwAAAP//AwBQSwMEFAAGAAgAAAAhAMx2qsHfAAAACwEAAA8AAABkcnMvZG93bnJldi54bWxMj8tO&#10;wzAQRfdI/IM1SGxQ61CaZzOpAAnEtqUf4CTTJGo8jmK3Sf8ed0WXo3t075l8O+teXGi0nWGE12UA&#10;grgydccNwuH3a5GAsE5xrXrDhHAlC9vi8SFXWW0m3tFl7xrhS9hmCqF1bsiktFVLWtmlGYh9djSj&#10;Vs6fYyPrUU2+XPdyFQSR1Kpjv9CqgT5bqk77s0Y4/kwvYTqV3+4Q79bRh+ri0lwRn5/m9w0IR7P7&#10;h+Gm79Wh8E6lOXNtRY+wiNLIowirMARxA96ScA2iREjiNABZ5PL+h+IPAAD//wMAUEsBAi0AFAAG&#10;AAgAAAAhALaDOJL+AAAA4QEAABMAAAAAAAAAAAAAAAAAAAAAAFtDb250ZW50X1R5cGVzXS54bWxQ&#10;SwECLQAUAAYACAAAACEAOP0h/9YAAACUAQAACwAAAAAAAAAAAAAAAAAvAQAAX3JlbHMvLnJlbHNQ&#10;SwECLQAUAAYACAAAACEAgoZcHSICAAAkBAAADgAAAAAAAAAAAAAAAAAuAgAAZHJzL2Uyb0RvYy54&#10;bWxQSwECLQAUAAYACAAAACEAzHaqwd8AAAALAQAADwAAAAAAAAAAAAAAAAB8BAAAZHJzL2Rvd25y&#10;ZXYueG1sUEsFBgAAAAAEAAQA8wAAAIgFAAAAAA==&#10;" stroked="f">
                <v:textbox>
                  <w:txbxContent>
                    <w:p w:rsidR="00DC0D1E" w:rsidRDefault="00DC0D1E" w:rsidP="00DC0D1E">
                      <w:permStart w:id="1715756827" w:edGrp="everyone"/>
                      <w:r>
                        <w:rPr>
                          <w:noProof/>
                          <w:lang w:eastAsia="en-GB"/>
                        </w:rPr>
                        <w:drawing>
                          <wp:inline distT="0" distB="0" distL="0" distR="0" wp14:anchorId="7F8FDC97" wp14:editId="4D0E99DF">
                            <wp:extent cx="9267825" cy="54673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9316211" cy="5495894"/>
                                    </a:xfrm>
                                    <a:prstGeom prst="rect">
                                      <a:avLst/>
                                    </a:prstGeom>
                                  </pic:spPr>
                                </pic:pic>
                              </a:graphicData>
                            </a:graphic>
                          </wp:inline>
                        </w:drawing>
                      </w:r>
                      <w:permEnd w:id="1715756827"/>
                    </w:p>
                  </w:txbxContent>
                </v:textbox>
                <w10:wrap type="square"/>
              </v:shape>
            </w:pict>
          </mc:Fallback>
        </mc:AlternateContent>
      </w:r>
    </w:p>
    <w:p w:rsidR="00DC0D1E" w:rsidRDefault="00DC0D1E" w:rsidP="00DC0D1E">
      <w:pPr>
        <w:jc w:val="both"/>
        <w:rPr>
          <w:rFonts w:cstheme="minorHAnsi"/>
          <w:b/>
          <w:sz w:val="28"/>
          <w:szCs w:val="28"/>
        </w:rPr>
      </w:pPr>
      <w:r w:rsidRPr="001C0EAB">
        <w:rPr>
          <w:rFonts w:cstheme="minorHAnsi"/>
          <w:b/>
          <w:sz w:val="28"/>
          <w:szCs w:val="28"/>
        </w:rPr>
        <w:t>Appendix E</w:t>
      </w:r>
      <w:r>
        <w:rPr>
          <w:rFonts w:cstheme="minorHAnsi"/>
          <w:b/>
          <w:sz w:val="28"/>
          <w:szCs w:val="28"/>
        </w:rPr>
        <w:t xml:space="preserve">: </w:t>
      </w:r>
      <w:r w:rsidRPr="001C0EAB">
        <w:rPr>
          <w:rFonts w:cstheme="minorHAnsi"/>
          <w:b/>
          <w:sz w:val="28"/>
          <w:szCs w:val="28"/>
        </w:rPr>
        <w:t>Paediatric FH Pathway</w:t>
      </w:r>
    </w:p>
    <w:p w:rsidR="00DC0D1E" w:rsidRDefault="00DC0D1E" w:rsidP="00DC0D1E">
      <w:r>
        <w:rPr>
          <w:noProof/>
          <w:lang w:eastAsia="en-GB"/>
        </w:rPr>
        <w:drawing>
          <wp:inline distT="0" distB="0" distL="0" distR="0" wp14:anchorId="4F0F70A3" wp14:editId="1E60EA8B">
            <wp:extent cx="9058275" cy="5219065"/>
            <wp:effectExtent l="0" t="0" r="9525"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058275" cy="5219065"/>
                    </a:xfrm>
                    <a:prstGeom prst="rect">
                      <a:avLst/>
                    </a:prstGeom>
                  </pic:spPr>
                </pic:pic>
              </a:graphicData>
            </a:graphic>
          </wp:inline>
        </w:drawing>
      </w:r>
    </w:p>
    <w:p w:rsidR="00DC0D1E" w:rsidRDefault="00DC0D1E" w:rsidP="00DC0D1E">
      <w:pPr>
        <w:rPr>
          <w:rFonts w:cstheme="minorHAnsi"/>
          <w:b/>
          <w:sz w:val="28"/>
          <w:szCs w:val="28"/>
        </w:rPr>
      </w:pPr>
      <w:r w:rsidRPr="000757C4">
        <w:rPr>
          <w:rFonts w:cstheme="minorHAnsi"/>
          <w:b/>
          <w:sz w:val="28"/>
          <w:szCs w:val="28"/>
        </w:rPr>
        <w:t>Appendix F: Hypertriglyceridaemia Pathway</w:t>
      </w:r>
    </w:p>
    <w:p w:rsidR="00A36372" w:rsidRDefault="00DC0D1E">
      <w:r>
        <w:rPr>
          <w:noProof/>
          <w:lang w:eastAsia="en-GB"/>
        </w:rPr>
        <w:drawing>
          <wp:inline distT="0" distB="0" distL="0" distR="0" wp14:anchorId="07129B5C" wp14:editId="6FDEC91F">
            <wp:extent cx="9289415" cy="5219065"/>
            <wp:effectExtent l="0" t="0" r="6985"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289415" cy="5219065"/>
                    </a:xfrm>
                    <a:prstGeom prst="rect">
                      <a:avLst/>
                    </a:prstGeom>
                  </pic:spPr>
                </pic:pic>
              </a:graphicData>
            </a:graphic>
          </wp:inline>
        </w:drawing>
      </w:r>
    </w:p>
    <w:sectPr w:rsidR="00A36372" w:rsidSect="001C0EAB">
      <w:pgSz w:w="16838" w:h="11906" w:orient="landscape" w:code="9"/>
      <w:pgMar w:top="1440" w:right="2410"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8D675D">
      <w:pPr>
        <w:spacing w:after="0" w:line="240" w:lineRule="auto"/>
      </w:pPr>
      <w:r>
        <w:separator/>
      </w:r>
    </w:p>
  </w:endnote>
  <w:endnote w:type="continuationSeparator" w:id="0">
    <w:p w:rsidR="00000000" w:rsidRDefault="008D6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3132816"/>
      <w:docPartObj>
        <w:docPartGallery w:val="Page Numbers (Bottom of Page)"/>
        <w:docPartUnique/>
      </w:docPartObj>
    </w:sdtPr>
    <w:sdtEndPr>
      <w:rPr>
        <w:noProof/>
      </w:rPr>
    </w:sdtEndPr>
    <w:sdtContent>
      <w:p w:rsidR="004620EC" w:rsidRDefault="005B44FF">
        <w:pPr>
          <w:pStyle w:val="Footer"/>
          <w:jc w:val="right"/>
        </w:pPr>
        <w:r>
          <w:fldChar w:fldCharType="begin"/>
        </w:r>
        <w:r>
          <w:instrText xml:space="preserve"> PAGE   \* MERGEFORMAT </w:instrText>
        </w:r>
        <w:r>
          <w:fldChar w:fldCharType="separate"/>
        </w:r>
        <w:r w:rsidR="008D675D">
          <w:rPr>
            <w:noProof/>
          </w:rPr>
          <w:t>8</w:t>
        </w:r>
        <w:r>
          <w:rPr>
            <w:noProof/>
          </w:rPr>
          <w:fldChar w:fldCharType="end"/>
        </w:r>
      </w:p>
    </w:sdtContent>
  </w:sdt>
  <w:p w:rsidR="004620EC" w:rsidRDefault="008D67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8D675D">
      <w:pPr>
        <w:spacing w:after="0" w:line="240" w:lineRule="auto"/>
      </w:pPr>
      <w:r>
        <w:separator/>
      </w:r>
    </w:p>
  </w:footnote>
  <w:footnote w:type="continuationSeparator" w:id="0">
    <w:p w:rsidR="00000000" w:rsidRDefault="008D67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1281" w:rsidRDefault="005B44FF" w:rsidP="00B36E05">
    <w:pPr>
      <w:pStyle w:val="Header"/>
      <w:tabs>
        <w:tab w:val="clear" w:pos="4513"/>
        <w:tab w:val="clear" w:pos="9026"/>
        <w:tab w:val="left" w:pos="9540"/>
      </w:tabs>
    </w:pPr>
    <w:r>
      <w:rPr>
        <w:noProof/>
        <w:lang w:eastAsia="en-GB"/>
      </w:rPr>
      <w:drawing>
        <wp:anchor distT="0" distB="0" distL="114300" distR="114300" simplePos="0" relativeHeight="251659264" behindDoc="1" locked="0" layoutInCell="1" allowOverlap="1" wp14:anchorId="7B1CE9E8" wp14:editId="1F466AAF">
          <wp:simplePos x="0" y="0"/>
          <wp:positionH relativeFrom="column">
            <wp:posOffset>-914400</wp:posOffset>
          </wp:positionH>
          <wp:positionV relativeFrom="paragraph">
            <wp:posOffset>-447675</wp:posOffset>
          </wp:positionV>
          <wp:extent cx="7543800" cy="10685145"/>
          <wp:effectExtent l="0" t="0" r="0" b="0"/>
          <wp:wrapNone/>
          <wp:docPr id="2" name="Picture 2" descr="Trust-Docs-Template-Colo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ust-Docs-Template-Colou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685145"/>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5" w:rsidRDefault="005B44FF" w:rsidP="00B36E05">
    <w:pPr>
      <w:pStyle w:val="Header"/>
      <w:tabs>
        <w:tab w:val="clear" w:pos="4513"/>
        <w:tab w:val="clear" w:pos="9026"/>
        <w:tab w:val="left" w:pos="9540"/>
      </w:tabs>
    </w:pPr>
    <w:r>
      <w:rPr>
        <w:noProof/>
        <w:lang w:eastAsia="en-GB"/>
      </w:rPr>
      <w:drawing>
        <wp:anchor distT="0" distB="0" distL="114300" distR="114300" simplePos="0" relativeHeight="251660288" behindDoc="1" locked="0" layoutInCell="1" allowOverlap="1" wp14:anchorId="6B7789B9" wp14:editId="63EB695A">
          <wp:simplePos x="0" y="0"/>
          <wp:positionH relativeFrom="column">
            <wp:posOffset>-600075</wp:posOffset>
          </wp:positionH>
          <wp:positionV relativeFrom="paragraph">
            <wp:posOffset>-267335</wp:posOffset>
          </wp:positionV>
          <wp:extent cx="10086975" cy="6995116"/>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86975" cy="6995116"/>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B3A05"/>
    <w:multiLevelType w:val="hybridMultilevel"/>
    <w:tmpl w:val="F5DA5C2A"/>
    <w:lvl w:ilvl="0" w:tplc="1200F8B4">
      <w:start w:val="1"/>
      <w:numFmt w:val="decimal"/>
      <w:lvlText w:val="%1."/>
      <w:lvlJc w:val="left"/>
      <w:pPr>
        <w:ind w:left="720" w:hanging="360"/>
      </w:pPr>
      <w:rPr>
        <w:rFonts w:asciiTheme="minorHAnsi" w:eastAsiaTheme="minorHAnsi" w:hAnsiTheme="minorHAnsi" w:cs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1F93629"/>
    <w:multiLevelType w:val="hybridMultilevel"/>
    <w:tmpl w:val="F04AD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8BA4288"/>
    <w:multiLevelType w:val="hybridMultilevel"/>
    <w:tmpl w:val="770A1972"/>
    <w:lvl w:ilvl="0" w:tplc="148A4D16">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FD4076F"/>
    <w:multiLevelType w:val="hybridMultilevel"/>
    <w:tmpl w:val="D83607F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7F897B47"/>
    <w:multiLevelType w:val="hybridMultilevel"/>
    <w:tmpl w:val="ECE6E4F8"/>
    <w:lvl w:ilvl="0" w:tplc="08090001">
      <w:start w:val="1"/>
      <w:numFmt w:val="bullet"/>
      <w:lvlText w:val=""/>
      <w:lvlJc w:val="left"/>
      <w:pPr>
        <w:ind w:left="720" w:hanging="360"/>
      </w:pPr>
      <w:rPr>
        <w:rFonts w:ascii="Symbol" w:hAnsi="Symbol" w:hint="default"/>
      </w:rPr>
    </w:lvl>
    <w:lvl w:ilvl="1" w:tplc="11D21C12">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81F"/>
    <w:rsid w:val="00153E7A"/>
    <w:rsid w:val="0034781F"/>
    <w:rsid w:val="005B44FF"/>
    <w:rsid w:val="008D675D"/>
    <w:rsid w:val="00A36372"/>
    <w:rsid w:val="00DC0D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chartTrackingRefBased/>
  <w15:docId w15:val="{529C9E77-1868-4514-8911-7032E5790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0D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0D1E"/>
    <w:pPr>
      <w:tabs>
        <w:tab w:val="center" w:pos="4513"/>
        <w:tab w:val="right" w:pos="9026"/>
      </w:tabs>
    </w:pPr>
  </w:style>
  <w:style w:type="character" w:customStyle="1" w:styleId="HeaderChar">
    <w:name w:val="Header Char"/>
    <w:basedOn w:val="DefaultParagraphFont"/>
    <w:link w:val="Header"/>
    <w:uiPriority w:val="99"/>
    <w:rsid w:val="00DC0D1E"/>
  </w:style>
  <w:style w:type="paragraph" w:styleId="Footer">
    <w:name w:val="footer"/>
    <w:basedOn w:val="Normal"/>
    <w:link w:val="FooterChar"/>
    <w:uiPriority w:val="99"/>
    <w:unhideWhenUsed/>
    <w:rsid w:val="00DC0D1E"/>
    <w:pPr>
      <w:tabs>
        <w:tab w:val="center" w:pos="4513"/>
        <w:tab w:val="right" w:pos="9026"/>
      </w:tabs>
    </w:pPr>
  </w:style>
  <w:style w:type="character" w:customStyle="1" w:styleId="FooterChar">
    <w:name w:val="Footer Char"/>
    <w:basedOn w:val="DefaultParagraphFont"/>
    <w:link w:val="Footer"/>
    <w:uiPriority w:val="99"/>
    <w:rsid w:val="00DC0D1E"/>
  </w:style>
  <w:style w:type="character" w:styleId="Hyperlink">
    <w:name w:val="Hyperlink"/>
    <w:basedOn w:val="DefaultParagraphFont"/>
    <w:uiPriority w:val="99"/>
    <w:unhideWhenUsed/>
    <w:rsid w:val="00DC0D1E"/>
    <w:rPr>
      <w:color w:val="0563C1" w:themeColor="hyperlink"/>
      <w:u w:val="single"/>
    </w:rPr>
  </w:style>
  <w:style w:type="table" w:styleId="TableGrid">
    <w:name w:val="Table Grid"/>
    <w:basedOn w:val="TableNormal"/>
    <w:uiPriority w:val="39"/>
    <w:rsid w:val="00DC0D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C0D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ice.org.uk/guidance/ng209/" TargetMode="External"/><Relationship Id="rId18" Type="http://schemas.openxmlformats.org/officeDocument/2006/relationships/oleObject" Target="embeddings/oleObject3.bin"/><Relationship Id="rId26" Type="http://schemas.openxmlformats.org/officeDocument/2006/relationships/image" Target="media/image6.emf"/><Relationship Id="rId39" Type="http://schemas.openxmlformats.org/officeDocument/2006/relationships/footer" Target="footer1.xml"/><Relationship Id="rId21" Type="http://schemas.openxmlformats.org/officeDocument/2006/relationships/hyperlink" Target="https://www.heartuk.org.uk/low-cholesterol-foods/choose-low-cholesterol-foods" TargetMode="External"/><Relationship Id="rId34" Type="http://schemas.openxmlformats.org/officeDocument/2006/relationships/hyperlink" Target="https://www.england.nhs.uk/aac/wp-content/uploads/sites/50/2020/08/Statin-Intolerance-Pathway-NEW.pdf" TargetMode="Externa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hyperlink" Target="https://www.nice.org.uk/guidance/cg181" TargetMode="External"/><Relationship Id="rId11" Type="http://schemas.openxmlformats.org/officeDocument/2006/relationships/hyperlink" Target="https://www.nice.org.uk/guidance/ng17" TargetMode="External"/><Relationship Id="rId24" Type="http://schemas.openxmlformats.org/officeDocument/2006/relationships/image" Target="media/image5.emf"/><Relationship Id="rId32" Type="http://schemas.openxmlformats.org/officeDocument/2006/relationships/hyperlink" Target="https://www.nice.org.uk/guidance/ta694" TargetMode="External"/><Relationship Id="rId37" Type="http://schemas.openxmlformats.org/officeDocument/2006/relationships/hyperlink" Target="https://www.england.nhs.uk/aac/wp-content/uploads/sites/50/2020/04/Lipid-Management-Pathway-NEW-version-4.pdf" TargetMode="External"/><Relationship Id="rId40" Type="http://schemas.openxmlformats.org/officeDocument/2006/relationships/image" Target="media/image8.emf"/><Relationship Id="rId45"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hyperlink" Target="https://www.england.nhs.uk/aac/wp-content/uploads/sites/50/2020/08/Statin-Intolerance-Pathway-NEW.pdf" TargetMode="External"/><Relationship Id="rId28" Type="http://schemas.openxmlformats.org/officeDocument/2006/relationships/hyperlink" Target="https://www.nice.org.uk/guidance/cg71" TargetMode="External"/><Relationship Id="rId36" Type="http://schemas.openxmlformats.org/officeDocument/2006/relationships/hyperlink" Target="https://www.sunderlandccg.nhs.uk/wp-content/uploads/2021/07/Northern-England-Evaluation-and-Lipid-Intensification-Guideline-NEELI.pdf" TargetMode="External"/><Relationship Id="rId49" Type="http://schemas.openxmlformats.org/officeDocument/2006/relationships/fontTable" Target="fontTable.xml"/><Relationship Id="rId10" Type="http://schemas.openxmlformats.org/officeDocument/2006/relationships/hyperlink" Target="https://www.nice.org.uk/guidance/ng203" TargetMode="External"/><Relationship Id="rId19" Type="http://schemas.openxmlformats.org/officeDocument/2006/relationships/image" Target="media/image4.emf"/><Relationship Id="rId31" Type="http://schemas.openxmlformats.org/officeDocument/2006/relationships/hyperlink" Target="https://www.nice.org.uk/guidance/ta393/chapter/1-Recommendations" TargetMode="External"/><Relationship Id="rId44"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hyperlink" Target="https://www.nice.org.uk/guidance/cg71" TargetMode="External"/><Relationship Id="rId14" Type="http://schemas.openxmlformats.org/officeDocument/2006/relationships/hyperlink" Target="https://www.nice.org.uk/guidance/ng136" TargetMode="External"/><Relationship Id="rId22" Type="http://schemas.openxmlformats.org/officeDocument/2006/relationships/hyperlink" Target="https://qrisk.org/three/" TargetMode="External"/><Relationship Id="rId27" Type="http://schemas.openxmlformats.org/officeDocument/2006/relationships/oleObject" Target="embeddings/oleObject6.bin"/><Relationship Id="rId30" Type="http://schemas.openxmlformats.org/officeDocument/2006/relationships/hyperlink" Target="https://www.nice.org.uk/guidance/ta394/chapter/1-Recommendations" TargetMode="External"/><Relationship Id="rId35" Type="http://schemas.openxmlformats.org/officeDocument/2006/relationships/hyperlink" Target="https://academic.oup.com/eurheartj/article/41/1/111/5556353" TargetMode="External"/><Relationship Id="rId43" Type="http://schemas.openxmlformats.org/officeDocument/2006/relationships/image" Target="media/image11.png"/><Relationship Id="rId48" Type="http://schemas.openxmlformats.org/officeDocument/2006/relationships/image" Target="media/image16.png"/><Relationship Id="rId8"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hyperlink" Target="https://www.nice.org.uk/guidance/ng28" TargetMode="External"/><Relationship Id="rId17" Type="http://schemas.openxmlformats.org/officeDocument/2006/relationships/image" Target="media/image3.emf"/><Relationship Id="rId25" Type="http://schemas.openxmlformats.org/officeDocument/2006/relationships/oleObject" Target="embeddings/oleObject5.bin"/><Relationship Id="rId33" Type="http://schemas.openxmlformats.org/officeDocument/2006/relationships/hyperlink" Target="https://www.nice.org.uk/guidance/ta733" TargetMode="External"/><Relationship Id="rId38" Type="http://schemas.openxmlformats.org/officeDocument/2006/relationships/header" Target="header1.xml"/><Relationship Id="rId46" Type="http://schemas.openxmlformats.org/officeDocument/2006/relationships/image" Target="media/image14.png"/><Relationship Id="rId20" Type="http://schemas.openxmlformats.org/officeDocument/2006/relationships/oleObject" Target="embeddings/oleObject4.bin"/><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2974</Words>
  <Characters>16952</Characters>
  <Application>Microsoft Office Word</Application>
  <DocSecurity>4</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Hull Teaching Hospitals</Company>
  <LinksUpToDate>false</LinksUpToDate>
  <CharactersWithSpaces>19887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Narayanan, Deepa</dc:creator>
  <cp:keywords/>
  <dc:description/>
  <cp:lastModifiedBy>Morgan, Jane</cp:lastModifiedBy>
  <cp:revision>2</cp:revision>
  <dcterms:created xsi:type="dcterms:W3CDTF">2022-12-21T13:35:00Z</dcterms:created>
  <dcterms:modified xsi:type="dcterms:W3CDTF">2022-12-21T13:35:00Z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