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FB1" w:rsidRPr="005E3849" w:rsidRDefault="006B5FB1" w:rsidP="005E3849">
      <w:pPr>
        <w:pStyle w:val="ListParagraph"/>
        <w:numPr>
          <w:ilvl w:val="0"/>
          <w:numId w:val="6"/>
        </w:numPr>
        <w:tabs>
          <w:tab w:val="left" w:pos="1080"/>
        </w:tabs>
        <w:jc w:val="center"/>
        <w:rPr>
          <w:rFonts w:ascii="Arial" w:hAnsi="Arial" w:cs="Arial"/>
          <w:b/>
          <w:sz w:val="36"/>
          <w:szCs w:val="36"/>
        </w:rPr>
      </w:pPr>
      <w:bookmarkStart w:id="0" w:name="_GoBack"/>
      <w:bookmarkEnd w:id="0"/>
      <w:r w:rsidRPr="005E3849">
        <w:rPr>
          <w:rFonts w:ascii="Arial" w:hAnsi="Arial" w:cs="Arial"/>
          <w:b/>
          <w:sz w:val="36"/>
          <w:szCs w:val="36"/>
        </w:rPr>
        <w:t>Formulary Amendments and Additions</w:t>
      </w:r>
    </w:p>
    <w:p w:rsidR="005E3849" w:rsidRPr="005E3849" w:rsidRDefault="005E3849" w:rsidP="005E3849">
      <w:pPr>
        <w:pStyle w:val="ListParagraph"/>
        <w:tabs>
          <w:tab w:val="left" w:pos="1080"/>
        </w:tabs>
        <w:ind w:left="780"/>
        <w:rPr>
          <w:rFonts w:ascii="Arial" w:hAnsi="Arial" w:cs="Arial"/>
          <w:b/>
          <w:sz w:val="36"/>
          <w:szCs w:val="36"/>
        </w:rPr>
      </w:pPr>
    </w:p>
    <w:tbl>
      <w:tblPr>
        <w:tblStyle w:val="TableGrid"/>
        <w:tblW w:w="0" w:type="auto"/>
        <w:tblLook w:val="04A0" w:firstRow="1" w:lastRow="0" w:firstColumn="1" w:lastColumn="0" w:noHBand="0" w:noVBand="1"/>
      </w:tblPr>
      <w:tblGrid>
        <w:gridCol w:w="3080"/>
        <w:gridCol w:w="3081"/>
        <w:gridCol w:w="3081"/>
      </w:tblGrid>
      <w:tr w:rsidR="00B92B93" w:rsidRPr="00A4320B" w:rsidTr="006B5FB1">
        <w:tc>
          <w:tcPr>
            <w:tcW w:w="3080" w:type="dxa"/>
          </w:tcPr>
          <w:p w:rsidR="00B92B93" w:rsidRPr="00A4320B" w:rsidRDefault="00B92B93" w:rsidP="00A4320B">
            <w:pPr>
              <w:tabs>
                <w:tab w:val="left" w:pos="1080"/>
              </w:tabs>
              <w:jc w:val="center"/>
              <w:rPr>
                <w:rFonts w:ascii="Arial" w:hAnsi="Arial" w:cs="Arial"/>
                <w:b/>
              </w:rPr>
            </w:pPr>
            <w:r w:rsidRPr="00A4320B">
              <w:rPr>
                <w:rFonts w:ascii="Arial" w:hAnsi="Arial" w:cs="Arial"/>
                <w:b/>
              </w:rPr>
              <w:t>Name of Drug</w:t>
            </w:r>
          </w:p>
        </w:tc>
        <w:tc>
          <w:tcPr>
            <w:tcW w:w="3081" w:type="dxa"/>
          </w:tcPr>
          <w:p w:rsidR="00B92B93" w:rsidRPr="00A4320B" w:rsidRDefault="00B92B93" w:rsidP="00A4320B">
            <w:pPr>
              <w:tabs>
                <w:tab w:val="left" w:pos="1080"/>
              </w:tabs>
              <w:jc w:val="center"/>
              <w:rPr>
                <w:rFonts w:ascii="Arial" w:hAnsi="Arial" w:cs="Arial"/>
                <w:b/>
              </w:rPr>
            </w:pPr>
            <w:r w:rsidRPr="00A4320B">
              <w:rPr>
                <w:rFonts w:ascii="Arial" w:hAnsi="Arial" w:cs="Arial"/>
                <w:b/>
              </w:rPr>
              <w:t>RAG Rated</w:t>
            </w:r>
          </w:p>
        </w:tc>
        <w:tc>
          <w:tcPr>
            <w:tcW w:w="3081" w:type="dxa"/>
          </w:tcPr>
          <w:p w:rsidR="00B92B93" w:rsidRPr="00A4320B" w:rsidRDefault="00C707A8" w:rsidP="00A4320B">
            <w:pPr>
              <w:tabs>
                <w:tab w:val="left" w:pos="1080"/>
              </w:tabs>
              <w:jc w:val="center"/>
              <w:rPr>
                <w:rFonts w:ascii="Arial" w:hAnsi="Arial" w:cs="Arial"/>
                <w:b/>
              </w:rPr>
            </w:pPr>
            <w:r w:rsidRPr="00A4320B">
              <w:rPr>
                <w:rFonts w:ascii="Arial" w:hAnsi="Arial" w:cs="Arial"/>
                <w:b/>
              </w:rPr>
              <w:t>Information</w:t>
            </w:r>
          </w:p>
          <w:p w:rsidR="001060DD" w:rsidRPr="00A4320B" w:rsidRDefault="001060DD" w:rsidP="00A4320B">
            <w:pPr>
              <w:tabs>
                <w:tab w:val="left" w:pos="1080"/>
              </w:tabs>
              <w:jc w:val="center"/>
              <w:rPr>
                <w:rFonts w:ascii="Arial" w:hAnsi="Arial" w:cs="Arial"/>
                <w:b/>
              </w:rPr>
            </w:pPr>
          </w:p>
        </w:tc>
      </w:tr>
      <w:tr w:rsidR="006B5FB1" w:rsidRPr="00A4320B" w:rsidTr="00A4320B">
        <w:tc>
          <w:tcPr>
            <w:tcW w:w="3080" w:type="dxa"/>
            <w:shd w:val="clear" w:color="auto" w:fill="00B050"/>
          </w:tcPr>
          <w:p w:rsidR="00A4320B" w:rsidRDefault="00A4320B" w:rsidP="00A4320B">
            <w:pPr>
              <w:tabs>
                <w:tab w:val="left" w:pos="1080"/>
              </w:tabs>
              <w:jc w:val="center"/>
              <w:rPr>
                <w:rFonts w:ascii="Arial" w:hAnsi="Arial" w:cs="Arial"/>
                <w:b/>
              </w:rPr>
            </w:pPr>
          </w:p>
          <w:p w:rsidR="00A4320B" w:rsidRDefault="00A4320B" w:rsidP="00A4320B">
            <w:pPr>
              <w:tabs>
                <w:tab w:val="left" w:pos="1080"/>
              </w:tabs>
              <w:jc w:val="center"/>
              <w:rPr>
                <w:rFonts w:ascii="Arial" w:hAnsi="Arial" w:cs="Arial"/>
                <w:b/>
              </w:rPr>
            </w:pPr>
          </w:p>
          <w:p w:rsidR="00A4320B" w:rsidRDefault="00A4320B" w:rsidP="00A4320B">
            <w:pPr>
              <w:tabs>
                <w:tab w:val="left" w:pos="1080"/>
              </w:tabs>
              <w:jc w:val="center"/>
              <w:rPr>
                <w:rFonts w:ascii="Arial" w:hAnsi="Arial" w:cs="Arial"/>
                <w:b/>
              </w:rPr>
            </w:pPr>
          </w:p>
          <w:p w:rsidR="00A4320B" w:rsidRPr="00A4320B" w:rsidRDefault="000574C4" w:rsidP="00A4320B">
            <w:pPr>
              <w:tabs>
                <w:tab w:val="left" w:pos="1080"/>
              </w:tabs>
              <w:jc w:val="center"/>
              <w:rPr>
                <w:rFonts w:ascii="Arial" w:hAnsi="Arial" w:cs="Arial"/>
                <w:b/>
              </w:rPr>
            </w:pPr>
            <w:proofErr w:type="spellStart"/>
            <w:r w:rsidRPr="00A4320B">
              <w:rPr>
                <w:rFonts w:ascii="Arial" w:hAnsi="Arial" w:cs="Arial"/>
                <w:b/>
              </w:rPr>
              <w:t>Trelegy</w:t>
            </w:r>
            <w:proofErr w:type="spellEnd"/>
            <w:r w:rsidRPr="00A4320B">
              <w:rPr>
                <w:rFonts w:ascii="Arial" w:hAnsi="Arial" w:cs="Arial"/>
                <w:b/>
              </w:rPr>
              <w:t xml:space="preserve"> </w:t>
            </w:r>
            <w:proofErr w:type="spellStart"/>
            <w:r w:rsidRPr="00A4320B">
              <w:rPr>
                <w:rFonts w:ascii="Arial" w:hAnsi="Arial" w:cs="Arial"/>
                <w:b/>
              </w:rPr>
              <w:t>Ellipta</w:t>
            </w:r>
            <w:proofErr w:type="spellEnd"/>
          </w:p>
          <w:p w:rsidR="000574C4" w:rsidRPr="00A4320B" w:rsidRDefault="000574C4" w:rsidP="00A4320B">
            <w:pPr>
              <w:pStyle w:val="NormalWeb"/>
              <w:jc w:val="center"/>
              <w:rPr>
                <w:rFonts w:ascii="Arial" w:hAnsi="Arial" w:cs="Arial"/>
                <w:color w:val="000000"/>
                <w:sz w:val="22"/>
                <w:szCs w:val="22"/>
                <w:lang w:val="en"/>
              </w:rPr>
            </w:pPr>
            <w:r w:rsidRPr="00A4320B">
              <w:rPr>
                <w:rFonts w:ascii="Arial" w:hAnsi="Arial" w:cs="Arial"/>
                <w:color w:val="000000"/>
                <w:sz w:val="22"/>
                <w:szCs w:val="22"/>
                <w:lang w:val="en"/>
              </w:rPr>
              <w:t>(</w:t>
            </w:r>
            <w:proofErr w:type="spellStart"/>
            <w:r w:rsidRPr="00A4320B">
              <w:rPr>
                <w:rFonts w:ascii="Arial" w:hAnsi="Arial" w:cs="Arial"/>
                <w:color w:val="000000"/>
                <w:sz w:val="22"/>
                <w:szCs w:val="22"/>
                <w:lang w:val="en"/>
              </w:rPr>
              <w:t>Trelegy</w:t>
            </w:r>
            <w:proofErr w:type="spellEnd"/>
            <w:r w:rsidRPr="00A4320B">
              <w:rPr>
                <w:rFonts w:ascii="Arial" w:hAnsi="Arial" w:cs="Arial"/>
                <w:color w:val="000000"/>
                <w:sz w:val="22"/>
                <w:szCs w:val="22"/>
                <w:lang w:val="en"/>
              </w:rPr>
              <w:t xml:space="preserve"> </w:t>
            </w:r>
            <w:proofErr w:type="spellStart"/>
            <w:r w:rsidRPr="00A4320B">
              <w:rPr>
                <w:rFonts w:ascii="Arial" w:hAnsi="Arial" w:cs="Arial"/>
                <w:color w:val="000000"/>
                <w:sz w:val="22"/>
                <w:szCs w:val="22"/>
                <w:lang w:val="en"/>
              </w:rPr>
              <w:t>Ellipta</w:t>
            </w:r>
            <w:proofErr w:type="spellEnd"/>
            <w:r w:rsidRPr="00A4320B">
              <w:rPr>
                <w:rFonts w:ascii="Arial" w:hAnsi="Arial" w:cs="Arial"/>
                <w:color w:val="000000"/>
                <w:sz w:val="22"/>
                <w:szCs w:val="22"/>
                <w:lang w:val="en"/>
              </w:rPr>
              <w:t xml:space="preserve"> 92 micrograms/55 micrograms/22 micrograms inhalation powder, pre-dispensed)</w:t>
            </w:r>
          </w:p>
          <w:p w:rsidR="000574C4" w:rsidRPr="00A4320B" w:rsidRDefault="000574C4" w:rsidP="00A4320B">
            <w:pPr>
              <w:tabs>
                <w:tab w:val="left" w:pos="1080"/>
              </w:tabs>
              <w:jc w:val="center"/>
              <w:rPr>
                <w:rFonts w:ascii="Arial" w:hAnsi="Arial" w:cs="Arial"/>
                <w:b/>
              </w:rPr>
            </w:pPr>
          </w:p>
        </w:tc>
        <w:tc>
          <w:tcPr>
            <w:tcW w:w="3081" w:type="dxa"/>
            <w:shd w:val="clear" w:color="auto" w:fill="00B050"/>
          </w:tcPr>
          <w:p w:rsidR="00A4320B" w:rsidRDefault="00A4320B" w:rsidP="00A4320B">
            <w:pPr>
              <w:tabs>
                <w:tab w:val="left" w:pos="1080"/>
              </w:tabs>
              <w:jc w:val="center"/>
              <w:rPr>
                <w:rFonts w:ascii="Arial" w:hAnsi="Arial" w:cs="Arial"/>
                <w:b/>
              </w:rPr>
            </w:pPr>
          </w:p>
          <w:p w:rsidR="00A4320B" w:rsidRDefault="00A4320B" w:rsidP="00A4320B">
            <w:pPr>
              <w:tabs>
                <w:tab w:val="left" w:pos="1080"/>
              </w:tabs>
              <w:jc w:val="center"/>
              <w:rPr>
                <w:rFonts w:ascii="Arial" w:hAnsi="Arial" w:cs="Arial"/>
                <w:b/>
              </w:rPr>
            </w:pPr>
          </w:p>
          <w:p w:rsidR="00A4320B" w:rsidRDefault="00A4320B" w:rsidP="00A4320B">
            <w:pPr>
              <w:tabs>
                <w:tab w:val="left" w:pos="1080"/>
              </w:tabs>
              <w:jc w:val="center"/>
              <w:rPr>
                <w:rFonts w:ascii="Arial" w:hAnsi="Arial" w:cs="Arial"/>
                <w:b/>
              </w:rPr>
            </w:pPr>
          </w:p>
          <w:p w:rsidR="00A4320B" w:rsidRDefault="00A4320B" w:rsidP="00A4320B">
            <w:pPr>
              <w:tabs>
                <w:tab w:val="left" w:pos="1080"/>
              </w:tabs>
              <w:rPr>
                <w:rFonts w:ascii="Arial" w:hAnsi="Arial" w:cs="Arial"/>
                <w:b/>
              </w:rPr>
            </w:pPr>
          </w:p>
          <w:p w:rsidR="006B5FB1" w:rsidRPr="00A4320B" w:rsidRDefault="000574C4" w:rsidP="00A4320B">
            <w:pPr>
              <w:tabs>
                <w:tab w:val="left" w:pos="1080"/>
              </w:tabs>
              <w:jc w:val="center"/>
              <w:rPr>
                <w:rFonts w:ascii="Arial" w:hAnsi="Arial" w:cs="Arial"/>
                <w:b/>
              </w:rPr>
            </w:pPr>
            <w:r w:rsidRPr="00A4320B">
              <w:rPr>
                <w:rFonts w:ascii="Arial" w:hAnsi="Arial" w:cs="Arial"/>
                <w:b/>
              </w:rPr>
              <w:t>Green</w:t>
            </w:r>
          </w:p>
        </w:tc>
        <w:tc>
          <w:tcPr>
            <w:tcW w:w="3081" w:type="dxa"/>
            <w:shd w:val="clear" w:color="auto" w:fill="00B050"/>
          </w:tcPr>
          <w:p w:rsidR="006B5FB1" w:rsidRPr="00A4320B" w:rsidRDefault="000574C4" w:rsidP="00A4320B">
            <w:pPr>
              <w:pStyle w:val="NormalWeb"/>
              <w:jc w:val="both"/>
              <w:rPr>
                <w:rFonts w:ascii="Arial" w:hAnsi="Arial" w:cs="Arial"/>
                <w:sz w:val="22"/>
                <w:szCs w:val="22"/>
              </w:rPr>
            </w:pPr>
            <w:proofErr w:type="spellStart"/>
            <w:r w:rsidRPr="00A4320B">
              <w:rPr>
                <w:rFonts w:ascii="Arial" w:hAnsi="Arial" w:cs="Arial"/>
                <w:sz w:val="22"/>
                <w:szCs w:val="22"/>
              </w:rPr>
              <w:t>Trelegy</w:t>
            </w:r>
            <w:proofErr w:type="spellEnd"/>
            <w:r w:rsidRPr="00A4320B">
              <w:rPr>
                <w:rFonts w:ascii="Arial" w:hAnsi="Arial" w:cs="Arial"/>
                <w:sz w:val="22"/>
                <w:szCs w:val="22"/>
              </w:rPr>
              <w:t xml:space="preserve"> </w:t>
            </w:r>
            <w:proofErr w:type="spellStart"/>
            <w:r w:rsidR="002C1613">
              <w:rPr>
                <w:rFonts w:ascii="Arial" w:hAnsi="Arial" w:cs="Arial"/>
                <w:sz w:val="22"/>
                <w:szCs w:val="22"/>
              </w:rPr>
              <w:t>Ellipta</w:t>
            </w:r>
            <w:proofErr w:type="spellEnd"/>
            <w:r w:rsidR="002C1613">
              <w:rPr>
                <w:rFonts w:ascii="Arial" w:hAnsi="Arial" w:cs="Arial"/>
                <w:sz w:val="22"/>
                <w:szCs w:val="22"/>
              </w:rPr>
              <w:t xml:space="preserve"> </w:t>
            </w:r>
            <w:r w:rsidRPr="00A4320B">
              <w:rPr>
                <w:rFonts w:ascii="Arial" w:hAnsi="Arial" w:cs="Arial"/>
                <w:sz w:val="22"/>
                <w:szCs w:val="22"/>
              </w:rPr>
              <w:t xml:space="preserve">has been agreed to be included onto the formulary as GREEN status. </w:t>
            </w:r>
            <w:proofErr w:type="spellStart"/>
            <w:r w:rsidRPr="00A4320B">
              <w:rPr>
                <w:rFonts w:ascii="Arial" w:hAnsi="Arial" w:cs="Arial"/>
                <w:sz w:val="22"/>
                <w:szCs w:val="22"/>
              </w:rPr>
              <w:t>Trelegy</w:t>
            </w:r>
            <w:proofErr w:type="spellEnd"/>
            <w:r w:rsidRPr="00A4320B">
              <w:rPr>
                <w:rFonts w:ascii="Arial" w:hAnsi="Arial" w:cs="Arial"/>
                <w:sz w:val="22"/>
                <w:szCs w:val="22"/>
              </w:rPr>
              <w:t xml:space="preserve"> </w:t>
            </w:r>
            <w:proofErr w:type="spellStart"/>
            <w:r w:rsidRPr="00A4320B">
              <w:rPr>
                <w:rFonts w:ascii="Arial" w:hAnsi="Arial" w:cs="Arial"/>
                <w:sz w:val="22"/>
                <w:szCs w:val="22"/>
              </w:rPr>
              <w:t>Ellipta</w:t>
            </w:r>
            <w:proofErr w:type="spellEnd"/>
            <w:r w:rsidRPr="00A4320B">
              <w:rPr>
                <w:rFonts w:ascii="Arial" w:hAnsi="Arial" w:cs="Arial"/>
                <w:sz w:val="22"/>
                <w:szCs w:val="22"/>
              </w:rPr>
              <w:t xml:space="preserve"> is a triple dry powder inhaler device </w:t>
            </w:r>
            <w:r w:rsidRPr="00A4320B">
              <w:rPr>
                <w:rFonts w:ascii="Arial" w:hAnsi="Arial" w:cs="Arial"/>
                <w:color w:val="000000"/>
                <w:sz w:val="22"/>
                <w:szCs w:val="22"/>
                <w:lang w:val="en"/>
              </w:rPr>
              <w:t>indicated as a maintenance treatment in adult patients with moderate to severe chronic obstructive pulmonary disease (COPD) who are not adequately treated by a combination of an inhaled corticosteroid and a long-acting β2-agonist</w:t>
            </w:r>
          </w:p>
        </w:tc>
      </w:tr>
      <w:tr w:rsidR="006B5FB1" w:rsidRPr="00A4320B" w:rsidTr="00A4320B">
        <w:tc>
          <w:tcPr>
            <w:tcW w:w="3080" w:type="dxa"/>
            <w:shd w:val="clear" w:color="auto" w:fill="FFC000"/>
          </w:tcPr>
          <w:p w:rsidR="00A4320B" w:rsidRDefault="00A4320B" w:rsidP="00A4320B">
            <w:pPr>
              <w:tabs>
                <w:tab w:val="left" w:pos="1080"/>
              </w:tabs>
              <w:jc w:val="center"/>
              <w:rPr>
                <w:rFonts w:ascii="Arial" w:hAnsi="Arial" w:cs="Arial"/>
                <w:b/>
                <w:color w:val="000000"/>
                <w:lang w:val="en"/>
              </w:rPr>
            </w:pPr>
          </w:p>
          <w:p w:rsidR="00A4320B" w:rsidRDefault="00A4320B" w:rsidP="00A4320B">
            <w:pPr>
              <w:tabs>
                <w:tab w:val="left" w:pos="1080"/>
              </w:tabs>
              <w:jc w:val="center"/>
              <w:rPr>
                <w:rFonts w:ascii="Arial" w:hAnsi="Arial" w:cs="Arial"/>
                <w:b/>
                <w:color w:val="000000"/>
                <w:lang w:val="en"/>
              </w:rPr>
            </w:pPr>
          </w:p>
          <w:p w:rsidR="00A4320B" w:rsidRPr="00A4320B" w:rsidRDefault="000574C4" w:rsidP="00A4320B">
            <w:pPr>
              <w:tabs>
                <w:tab w:val="left" w:pos="1080"/>
              </w:tabs>
              <w:jc w:val="center"/>
              <w:rPr>
                <w:rFonts w:ascii="Arial" w:hAnsi="Arial" w:cs="Arial"/>
                <w:b/>
                <w:color w:val="000000"/>
                <w:lang w:val="en"/>
              </w:rPr>
            </w:pPr>
            <w:proofErr w:type="spellStart"/>
            <w:r w:rsidRPr="00A4320B">
              <w:rPr>
                <w:rFonts w:ascii="Arial" w:hAnsi="Arial" w:cs="Arial"/>
                <w:b/>
                <w:color w:val="000000"/>
                <w:lang w:val="en"/>
              </w:rPr>
              <w:t>Enstilar</w:t>
            </w:r>
            <w:proofErr w:type="spellEnd"/>
          </w:p>
          <w:p w:rsidR="006B5FB1" w:rsidRPr="00A4320B" w:rsidRDefault="000574C4" w:rsidP="00A4320B">
            <w:pPr>
              <w:tabs>
                <w:tab w:val="left" w:pos="1080"/>
              </w:tabs>
              <w:jc w:val="center"/>
              <w:rPr>
                <w:rFonts w:ascii="Arial" w:hAnsi="Arial" w:cs="Arial"/>
                <w:b/>
              </w:rPr>
            </w:pPr>
            <w:r w:rsidRPr="00A4320B">
              <w:rPr>
                <w:rFonts w:ascii="Arial" w:hAnsi="Arial" w:cs="Arial"/>
                <w:color w:val="000000"/>
                <w:lang w:val="en"/>
              </w:rPr>
              <w:t>(</w:t>
            </w:r>
            <w:proofErr w:type="spellStart"/>
            <w:r w:rsidRPr="00A4320B">
              <w:rPr>
                <w:rFonts w:ascii="Arial" w:hAnsi="Arial" w:cs="Arial"/>
                <w:color w:val="000000"/>
                <w:lang w:val="en"/>
              </w:rPr>
              <w:t>Enstilar</w:t>
            </w:r>
            <w:proofErr w:type="spellEnd"/>
            <w:r w:rsidRPr="00A4320B">
              <w:rPr>
                <w:rFonts w:ascii="Arial" w:hAnsi="Arial" w:cs="Arial"/>
                <w:color w:val="000000"/>
                <w:lang w:val="en"/>
              </w:rPr>
              <w:t xml:space="preserve"> 50 micrograms/g + 0.5 mg/g cutaneous foam)</w:t>
            </w:r>
          </w:p>
          <w:p w:rsidR="006B5FB1" w:rsidRPr="00A4320B" w:rsidRDefault="006B5FB1" w:rsidP="00A4320B">
            <w:pPr>
              <w:tabs>
                <w:tab w:val="left" w:pos="1080"/>
              </w:tabs>
              <w:jc w:val="center"/>
              <w:rPr>
                <w:rFonts w:ascii="Arial" w:hAnsi="Arial" w:cs="Arial"/>
                <w:b/>
              </w:rPr>
            </w:pPr>
          </w:p>
        </w:tc>
        <w:tc>
          <w:tcPr>
            <w:tcW w:w="3081" w:type="dxa"/>
            <w:shd w:val="clear" w:color="auto" w:fill="FFC000"/>
          </w:tcPr>
          <w:p w:rsidR="00A4320B" w:rsidRDefault="00A4320B" w:rsidP="00A4320B">
            <w:pPr>
              <w:tabs>
                <w:tab w:val="left" w:pos="1080"/>
              </w:tabs>
              <w:jc w:val="center"/>
              <w:rPr>
                <w:rFonts w:ascii="Arial" w:hAnsi="Arial" w:cs="Arial"/>
                <w:b/>
              </w:rPr>
            </w:pPr>
          </w:p>
          <w:p w:rsidR="00A4320B" w:rsidRDefault="00A4320B" w:rsidP="00A4320B">
            <w:pPr>
              <w:tabs>
                <w:tab w:val="left" w:pos="1080"/>
              </w:tabs>
              <w:rPr>
                <w:rFonts w:ascii="Arial" w:hAnsi="Arial" w:cs="Arial"/>
                <w:b/>
              </w:rPr>
            </w:pPr>
          </w:p>
          <w:p w:rsidR="006B5FB1" w:rsidRPr="00A4320B" w:rsidRDefault="00B92B93" w:rsidP="00A4320B">
            <w:pPr>
              <w:tabs>
                <w:tab w:val="left" w:pos="1080"/>
              </w:tabs>
              <w:jc w:val="center"/>
              <w:rPr>
                <w:rFonts w:ascii="Arial" w:hAnsi="Arial" w:cs="Arial"/>
                <w:b/>
              </w:rPr>
            </w:pPr>
            <w:r w:rsidRPr="00A4320B">
              <w:rPr>
                <w:rFonts w:ascii="Arial" w:hAnsi="Arial" w:cs="Arial"/>
                <w:b/>
              </w:rPr>
              <w:t>Amber</w:t>
            </w:r>
          </w:p>
        </w:tc>
        <w:tc>
          <w:tcPr>
            <w:tcW w:w="3081" w:type="dxa"/>
            <w:shd w:val="clear" w:color="auto" w:fill="FFC000"/>
          </w:tcPr>
          <w:p w:rsidR="006B5FB1" w:rsidRPr="00A4320B" w:rsidRDefault="000574C4" w:rsidP="00A4320B">
            <w:pPr>
              <w:tabs>
                <w:tab w:val="left" w:pos="1080"/>
              </w:tabs>
              <w:jc w:val="both"/>
              <w:rPr>
                <w:rFonts w:ascii="Arial" w:hAnsi="Arial" w:cs="Arial"/>
                <w:b/>
              </w:rPr>
            </w:pPr>
            <w:r w:rsidRPr="00A4320B">
              <w:rPr>
                <w:rFonts w:ascii="Arial" w:hAnsi="Arial" w:cs="Arial"/>
              </w:rPr>
              <w:t xml:space="preserve">APC has agreed to include </w:t>
            </w:r>
            <w:proofErr w:type="spellStart"/>
            <w:r w:rsidRPr="00A4320B">
              <w:rPr>
                <w:rFonts w:ascii="Arial" w:hAnsi="Arial" w:cs="Arial"/>
              </w:rPr>
              <w:t>Enstilar</w:t>
            </w:r>
            <w:proofErr w:type="spellEnd"/>
            <w:r w:rsidRPr="00A4320B">
              <w:rPr>
                <w:rFonts w:ascii="Arial" w:hAnsi="Arial" w:cs="Arial"/>
              </w:rPr>
              <w:t xml:space="preserve"> onto the formulary as AMBER with no shared care, provided that the guidelines were adhered to. </w:t>
            </w:r>
            <w:proofErr w:type="spellStart"/>
            <w:r w:rsidRPr="00A4320B">
              <w:rPr>
                <w:rFonts w:ascii="Arial" w:hAnsi="Arial" w:cs="Arial"/>
              </w:rPr>
              <w:t>Enstilar</w:t>
            </w:r>
            <w:proofErr w:type="spellEnd"/>
            <w:r w:rsidRPr="00A4320B">
              <w:rPr>
                <w:rFonts w:ascii="Arial" w:hAnsi="Arial" w:cs="Arial"/>
              </w:rPr>
              <w:t xml:space="preserve"> is indicated for the treatment of psoriasis in adults.</w:t>
            </w:r>
          </w:p>
        </w:tc>
      </w:tr>
      <w:tr w:rsidR="00624E2E" w:rsidRPr="00A4320B" w:rsidTr="00624E2E">
        <w:tc>
          <w:tcPr>
            <w:tcW w:w="3080" w:type="dxa"/>
            <w:shd w:val="clear" w:color="auto" w:fill="FF0000"/>
          </w:tcPr>
          <w:p w:rsidR="00624E2E" w:rsidRDefault="00624E2E" w:rsidP="00A4320B">
            <w:pPr>
              <w:tabs>
                <w:tab w:val="left" w:pos="1080"/>
              </w:tabs>
              <w:jc w:val="center"/>
              <w:rPr>
                <w:rFonts w:ascii="Arial" w:hAnsi="Arial" w:cs="Arial"/>
                <w:b/>
                <w:color w:val="000000"/>
                <w:lang w:val="en"/>
              </w:rPr>
            </w:pPr>
            <w:proofErr w:type="spellStart"/>
            <w:r>
              <w:rPr>
                <w:rFonts w:ascii="Arial" w:hAnsi="Arial" w:cs="Arial"/>
                <w:b/>
                <w:color w:val="000000"/>
                <w:lang w:val="en"/>
              </w:rPr>
              <w:t>Entresto</w:t>
            </w:r>
            <w:proofErr w:type="spellEnd"/>
            <w:r>
              <w:rPr>
                <w:rFonts w:ascii="Arial" w:hAnsi="Arial" w:cs="Arial"/>
                <w:b/>
                <w:color w:val="000000"/>
                <w:lang w:val="en"/>
              </w:rPr>
              <w:t xml:space="preserve"> </w:t>
            </w:r>
          </w:p>
        </w:tc>
        <w:tc>
          <w:tcPr>
            <w:tcW w:w="3081" w:type="dxa"/>
            <w:shd w:val="clear" w:color="auto" w:fill="FF0000"/>
          </w:tcPr>
          <w:p w:rsidR="00624E2E" w:rsidRDefault="00624E2E" w:rsidP="00A4320B">
            <w:pPr>
              <w:tabs>
                <w:tab w:val="left" w:pos="1080"/>
              </w:tabs>
              <w:jc w:val="center"/>
              <w:rPr>
                <w:rFonts w:ascii="Arial" w:hAnsi="Arial" w:cs="Arial"/>
                <w:b/>
              </w:rPr>
            </w:pPr>
            <w:r>
              <w:rPr>
                <w:rFonts w:ascii="Arial" w:hAnsi="Arial" w:cs="Arial"/>
                <w:b/>
              </w:rPr>
              <w:t xml:space="preserve">Red </w:t>
            </w:r>
          </w:p>
        </w:tc>
        <w:tc>
          <w:tcPr>
            <w:tcW w:w="3081" w:type="dxa"/>
            <w:shd w:val="clear" w:color="auto" w:fill="FF0000"/>
          </w:tcPr>
          <w:p w:rsidR="00624E2E" w:rsidRPr="00A4320B" w:rsidRDefault="00624E2E" w:rsidP="00624E2E">
            <w:pPr>
              <w:rPr>
                <w:rFonts w:ascii="Arial" w:hAnsi="Arial" w:cs="Arial"/>
              </w:rPr>
            </w:pPr>
            <w:r w:rsidRPr="00A4320B">
              <w:rPr>
                <w:rFonts w:ascii="Arial" w:hAnsi="Arial" w:cs="Arial"/>
              </w:rPr>
              <w:t>RED status until a shared care guideline</w:t>
            </w:r>
            <w:r w:rsidR="000C23DB">
              <w:rPr>
                <w:rFonts w:ascii="Arial" w:hAnsi="Arial" w:cs="Arial"/>
              </w:rPr>
              <w:t xml:space="preserve"> is approved.</w:t>
            </w:r>
          </w:p>
          <w:p w:rsidR="00624E2E" w:rsidRPr="00A4320B" w:rsidRDefault="00624E2E" w:rsidP="00A4320B">
            <w:pPr>
              <w:tabs>
                <w:tab w:val="left" w:pos="1080"/>
              </w:tabs>
              <w:jc w:val="both"/>
              <w:rPr>
                <w:rFonts w:ascii="Arial" w:hAnsi="Arial" w:cs="Arial"/>
              </w:rPr>
            </w:pPr>
          </w:p>
        </w:tc>
      </w:tr>
      <w:tr w:rsidR="006B5FB1" w:rsidRPr="00A4320B" w:rsidTr="00A4320B">
        <w:tc>
          <w:tcPr>
            <w:tcW w:w="3080" w:type="dxa"/>
            <w:shd w:val="clear" w:color="auto" w:fill="FF0000"/>
          </w:tcPr>
          <w:p w:rsidR="00A4320B" w:rsidRDefault="00A4320B" w:rsidP="00A4320B">
            <w:pPr>
              <w:tabs>
                <w:tab w:val="left" w:pos="1080"/>
              </w:tabs>
              <w:jc w:val="center"/>
              <w:rPr>
                <w:rFonts w:ascii="Arial" w:hAnsi="Arial" w:cs="Arial"/>
                <w:b/>
              </w:rPr>
            </w:pPr>
          </w:p>
          <w:p w:rsidR="00A4320B" w:rsidRDefault="00A4320B" w:rsidP="00A4320B">
            <w:pPr>
              <w:tabs>
                <w:tab w:val="left" w:pos="1080"/>
              </w:tabs>
              <w:jc w:val="center"/>
              <w:rPr>
                <w:rFonts w:ascii="Arial" w:hAnsi="Arial" w:cs="Arial"/>
                <w:b/>
              </w:rPr>
            </w:pPr>
          </w:p>
          <w:p w:rsidR="006B5FB1" w:rsidRPr="00A4320B" w:rsidRDefault="000574C4" w:rsidP="00A4320B">
            <w:pPr>
              <w:tabs>
                <w:tab w:val="left" w:pos="1080"/>
              </w:tabs>
              <w:jc w:val="center"/>
              <w:rPr>
                <w:rFonts w:ascii="Arial" w:hAnsi="Arial" w:cs="Arial"/>
                <w:b/>
              </w:rPr>
            </w:pPr>
            <w:r w:rsidRPr="00A4320B">
              <w:rPr>
                <w:rFonts w:ascii="Arial" w:hAnsi="Arial" w:cs="Arial"/>
                <w:b/>
              </w:rPr>
              <w:t>Tamoxifen</w:t>
            </w:r>
          </w:p>
        </w:tc>
        <w:tc>
          <w:tcPr>
            <w:tcW w:w="3081" w:type="dxa"/>
            <w:shd w:val="clear" w:color="auto" w:fill="FF0000"/>
          </w:tcPr>
          <w:p w:rsidR="00A4320B" w:rsidRDefault="00A4320B" w:rsidP="00A4320B">
            <w:pPr>
              <w:tabs>
                <w:tab w:val="left" w:pos="1080"/>
              </w:tabs>
              <w:jc w:val="center"/>
              <w:rPr>
                <w:rFonts w:ascii="Arial" w:hAnsi="Arial" w:cs="Arial"/>
                <w:b/>
              </w:rPr>
            </w:pPr>
          </w:p>
          <w:p w:rsidR="00A4320B" w:rsidRDefault="00A4320B" w:rsidP="00A4320B">
            <w:pPr>
              <w:tabs>
                <w:tab w:val="left" w:pos="1080"/>
              </w:tabs>
              <w:jc w:val="center"/>
              <w:rPr>
                <w:rFonts w:ascii="Arial" w:hAnsi="Arial" w:cs="Arial"/>
                <w:b/>
              </w:rPr>
            </w:pPr>
          </w:p>
          <w:p w:rsidR="006B5FB1" w:rsidRPr="00A4320B" w:rsidRDefault="00A4320B" w:rsidP="00A4320B">
            <w:pPr>
              <w:tabs>
                <w:tab w:val="left" w:pos="1080"/>
              </w:tabs>
              <w:jc w:val="center"/>
              <w:rPr>
                <w:rFonts w:ascii="Arial" w:hAnsi="Arial" w:cs="Arial"/>
                <w:b/>
              </w:rPr>
            </w:pPr>
            <w:r>
              <w:rPr>
                <w:rFonts w:ascii="Arial" w:hAnsi="Arial" w:cs="Arial"/>
                <w:b/>
              </w:rPr>
              <w:t>Red</w:t>
            </w:r>
          </w:p>
        </w:tc>
        <w:tc>
          <w:tcPr>
            <w:tcW w:w="3081" w:type="dxa"/>
            <w:shd w:val="clear" w:color="auto" w:fill="FF0000"/>
          </w:tcPr>
          <w:p w:rsidR="006B5FB1" w:rsidRPr="00A4320B" w:rsidRDefault="000574C4" w:rsidP="00A4320B">
            <w:pPr>
              <w:tabs>
                <w:tab w:val="left" w:pos="1080"/>
              </w:tabs>
              <w:jc w:val="both"/>
              <w:rPr>
                <w:rFonts w:ascii="Arial" w:hAnsi="Arial" w:cs="Arial"/>
              </w:rPr>
            </w:pPr>
            <w:r w:rsidRPr="00A4320B">
              <w:rPr>
                <w:rFonts w:ascii="Arial" w:hAnsi="Arial" w:cs="Arial"/>
              </w:rPr>
              <w:t xml:space="preserve">APC have agreed to list Tamoxifen as RED for the reduction of breast cancer as this is an unlicensed indication GPs should not be expected to prescribe it  </w:t>
            </w:r>
          </w:p>
        </w:tc>
      </w:tr>
    </w:tbl>
    <w:p w:rsidR="008D6DBB" w:rsidRPr="00A4320B" w:rsidRDefault="008D6DBB" w:rsidP="00686653">
      <w:pPr>
        <w:tabs>
          <w:tab w:val="left" w:pos="1080"/>
        </w:tabs>
        <w:rPr>
          <w:rFonts w:ascii="Arial" w:hAnsi="Arial" w:cs="Arial"/>
          <w:b/>
          <w:sz w:val="36"/>
          <w:szCs w:val="36"/>
        </w:rPr>
      </w:pPr>
    </w:p>
    <w:p w:rsidR="00A4320B" w:rsidRDefault="00A4320B" w:rsidP="00686653">
      <w:pPr>
        <w:tabs>
          <w:tab w:val="left" w:pos="1080"/>
        </w:tabs>
        <w:rPr>
          <w:rFonts w:ascii="Arial" w:hAnsi="Arial" w:cs="Arial"/>
          <w:b/>
          <w:sz w:val="36"/>
          <w:szCs w:val="36"/>
        </w:rPr>
      </w:pPr>
    </w:p>
    <w:p w:rsidR="00A4320B" w:rsidRDefault="00A4320B" w:rsidP="00686653">
      <w:pPr>
        <w:tabs>
          <w:tab w:val="left" w:pos="1080"/>
        </w:tabs>
        <w:rPr>
          <w:rFonts w:ascii="Arial" w:hAnsi="Arial" w:cs="Arial"/>
          <w:b/>
          <w:sz w:val="36"/>
          <w:szCs w:val="36"/>
        </w:rPr>
      </w:pPr>
    </w:p>
    <w:p w:rsidR="00A4320B" w:rsidRDefault="00A4320B" w:rsidP="00686653">
      <w:pPr>
        <w:tabs>
          <w:tab w:val="left" w:pos="1080"/>
        </w:tabs>
        <w:rPr>
          <w:rFonts w:ascii="Arial" w:hAnsi="Arial" w:cs="Arial"/>
          <w:b/>
          <w:sz w:val="36"/>
          <w:szCs w:val="36"/>
        </w:rPr>
      </w:pPr>
    </w:p>
    <w:p w:rsidR="005E3849" w:rsidRPr="00A4320B" w:rsidRDefault="005E3849" w:rsidP="00686653">
      <w:pPr>
        <w:tabs>
          <w:tab w:val="left" w:pos="1080"/>
        </w:tabs>
        <w:rPr>
          <w:rFonts w:ascii="Arial" w:hAnsi="Arial" w:cs="Arial"/>
          <w:b/>
          <w:sz w:val="36"/>
          <w:szCs w:val="36"/>
        </w:rPr>
      </w:pPr>
    </w:p>
    <w:p w:rsidR="00A4320B" w:rsidRPr="00A4320B" w:rsidRDefault="00A4320B" w:rsidP="00686653">
      <w:pPr>
        <w:tabs>
          <w:tab w:val="left" w:pos="1080"/>
        </w:tabs>
        <w:rPr>
          <w:rFonts w:ascii="Arial" w:hAnsi="Arial" w:cs="Arial"/>
          <w:b/>
          <w:sz w:val="36"/>
          <w:szCs w:val="36"/>
        </w:rPr>
      </w:pPr>
    </w:p>
    <w:p w:rsidR="00DD191D" w:rsidRPr="00A4320B" w:rsidRDefault="00A91CE4" w:rsidP="00A4320B">
      <w:pPr>
        <w:tabs>
          <w:tab w:val="left" w:pos="1080"/>
        </w:tabs>
        <w:jc w:val="center"/>
        <w:rPr>
          <w:rFonts w:ascii="Arial" w:hAnsi="Arial" w:cs="Arial"/>
          <w:b/>
          <w:sz w:val="36"/>
          <w:szCs w:val="36"/>
          <w:u w:val="single"/>
        </w:rPr>
      </w:pPr>
      <w:r w:rsidRPr="00A4320B">
        <w:rPr>
          <w:rFonts w:ascii="Arial" w:hAnsi="Arial" w:cs="Arial"/>
          <w:b/>
          <w:sz w:val="36"/>
          <w:szCs w:val="36"/>
          <w:u w:val="single"/>
        </w:rPr>
        <w:t>2)</w:t>
      </w:r>
      <w:r w:rsidR="00A4320B">
        <w:rPr>
          <w:rFonts w:ascii="Arial" w:hAnsi="Arial" w:cs="Arial"/>
          <w:b/>
          <w:sz w:val="36"/>
          <w:szCs w:val="36"/>
          <w:u w:val="single"/>
        </w:rPr>
        <w:t xml:space="preserve"> </w:t>
      </w:r>
      <w:r w:rsidR="008D6DBB" w:rsidRPr="00A4320B">
        <w:rPr>
          <w:rFonts w:ascii="Arial" w:hAnsi="Arial" w:cs="Arial"/>
          <w:b/>
          <w:sz w:val="36"/>
          <w:szCs w:val="36"/>
          <w:u w:val="single"/>
        </w:rPr>
        <w:t>NICE Technical Appraisals</w:t>
      </w:r>
    </w:p>
    <w:p w:rsidR="004A2AEB" w:rsidRPr="00A4320B" w:rsidRDefault="004A2AEB" w:rsidP="00A51211">
      <w:pPr>
        <w:pStyle w:val="ListParagraph"/>
        <w:tabs>
          <w:tab w:val="left" w:pos="1080"/>
        </w:tabs>
        <w:rPr>
          <w:rFonts w:ascii="Arial" w:hAnsi="Arial" w:cs="Arial"/>
          <w:sz w:val="24"/>
          <w:szCs w:val="24"/>
        </w:rPr>
      </w:pPr>
    </w:p>
    <w:tbl>
      <w:tblPr>
        <w:tblStyle w:val="TableGrid"/>
        <w:tblW w:w="0" w:type="auto"/>
        <w:tblInd w:w="-34" w:type="dxa"/>
        <w:tblLook w:val="04A0" w:firstRow="1" w:lastRow="0" w:firstColumn="1" w:lastColumn="0" w:noHBand="0" w:noVBand="1"/>
      </w:tblPr>
      <w:tblGrid>
        <w:gridCol w:w="1843"/>
        <w:gridCol w:w="5954"/>
        <w:gridCol w:w="1479"/>
      </w:tblGrid>
      <w:tr w:rsidR="004A2AEB" w:rsidRPr="00A4320B" w:rsidTr="00A91CE4">
        <w:tc>
          <w:tcPr>
            <w:tcW w:w="1843" w:type="dxa"/>
          </w:tcPr>
          <w:p w:rsidR="004A2AEB" w:rsidRPr="00A4320B" w:rsidRDefault="00A91CE4" w:rsidP="00A4320B">
            <w:pPr>
              <w:pStyle w:val="ListParagraph"/>
              <w:tabs>
                <w:tab w:val="left" w:pos="1080"/>
              </w:tabs>
              <w:ind w:left="0"/>
              <w:jc w:val="center"/>
              <w:rPr>
                <w:rFonts w:ascii="Arial" w:hAnsi="Arial" w:cs="Arial"/>
                <w:b/>
                <w:sz w:val="28"/>
                <w:szCs w:val="28"/>
              </w:rPr>
            </w:pPr>
            <w:r w:rsidRPr="00A4320B">
              <w:rPr>
                <w:rFonts w:ascii="Arial" w:hAnsi="Arial" w:cs="Arial"/>
                <w:b/>
                <w:sz w:val="28"/>
                <w:szCs w:val="28"/>
              </w:rPr>
              <w:t>NICE TA</w:t>
            </w:r>
          </w:p>
        </w:tc>
        <w:tc>
          <w:tcPr>
            <w:tcW w:w="5954" w:type="dxa"/>
          </w:tcPr>
          <w:p w:rsidR="004A2AEB" w:rsidRPr="00A4320B" w:rsidRDefault="00A4320B" w:rsidP="00A4320B">
            <w:pPr>
              <w:pStyle w:val="ListParagraph"/>
              <w:tabs>
                <w:tab w:val="left" w:pos="1080"/>
              </w:tabs>
              <w:ind w:left="0"/>
              <w:jc w:val="center"/>
              <w:rPr>
                <w:rFonts w:ascii="Arial" w:hAnsi="Arial" w:cs="Arial"/>
                <w:b/>
                <w:sz w:val="28"/>
                <w:szCs w:val="28"/>
              </w:rPr>
            </w:pPr>
            <w:r>
              <w:rPr>
                <w:rFonts w:ascii="Arial" w:hAnsi="Arial" w:cs="Arial"/>
                <w:b/>
                <w:sz w:val="28"/>
                <w:szCs w:val="28"/>
              </w:rPr>
              <w:t>I</w:t>
            </w:r>
            <w:r w:rsidR="00A91CE4" w:rsidRPr="00A4320B">
              <w:rPr>
                <w:rFonts w:ascii="Arial" w:hAnsi="Arial" w:cs="Arial"/>
                <w:b/>
                <w:sz w:val="28"/>
                <w:szCs w:val="28"/>
              </w:rPr>
              <w:t>ndication</w:t>
            </w:r>
          </w:p>
        </w:tc>
        <w:tc>
          <w:tcPr>
            <w:tcW w:w="1479" w:type="dxa"/>
          </w:tcPr>
          <w:p w:rsidR="004A2AEB" w:rsidRPr="00A4320B" w:rsidRDefault="00A91CE4" w:rsidP="00A4320B">
            <w:pPr>
              <w:pStyle w:val="ListParagraph"/>
              <w:tabs>
                <w:tab w:val="left" w:pos="1080"/>
              </w:tabs>
              <w:ind w:left="0"/>
              <w:jc w:val="center"/>
              <w:rPr>
                <w:rFonts w:ascii="Arial" w:hAnsi="Arial" w:cs="Arial"/>
                <w:b/>
                <w:sz w:val="28"/>
                <w:szCs w:val="28"/>
              </w:rPr>
            </w:pPr>
            <w:r w:rsidRPr="00A4320B">
              <w:rPr>
                <w:rFonts w:ascii="Arial" w:hAnsi="Arial" w:cs="Arial"/>
                <w:b/>
                <w:sz w:val="28"/>
                <w:szCs w:val="28"/>
              </w:rPr>
              <w:t>RAG rating</w:t>
            </w:r>
          </w:p>
        </w:tc>
      </w:tr>
      <w:tr w:rsidR="004A2AEB" w:rsidRPr="00A4320B" w:rsidTr="00A91CE4">
        <w:tc>
          <w:tcPr>
            <w:tcW w:w="1843" w:type="dxa"/>
          </w:tcPr>
          <w:p w:rsidR="004A2AEB" w:rsidRPr="00A4320B" w:rsidRDefault="000574C4" w:rsidP="00A4320B">
            <w:pPr>
              <w:pStyle w:val="ListParagraph"/>
              <w:tabs>
                <w:tab w:val="left" w:pos="1080"/>
              </w:tabs>
              <w:ind w:left="0"/>
              <w:jc w:val="center"/>
              <w:rPr>
                <w:rFonts w:ascii="Arial" w:hAnsi="Arial" w:cs="Arial"/>
              </w:rPr>
            </w:pPr>
            <w:r w:rsidRPr="00A4320B">
              <w:rPr>
                <w:rFonts w:ascii="Arial" w:hAnsi="Arial" w:cs="Arial"/>
              </w:rPr>
              <w:t>NICE TA521</w:t>
            </w:r>
          </w:p>
        </w:tc>
        <w:tc>
          <w:tcPr>
            <w:tcW w:w="5954" w:type="dxa"/>
          </w:tcPr>
          <w:p w:rsidR="004A2AEB" w:rsidRPr="00A4320B" w:rsidRDefault="000574C4" w:rsidP="004A2AEB">
            <w:pPr>
              <w:tabs>
                <w:tab w:val="left" w:pos="1080"/>
              </w:tabs>
              <w:rPr>
                <w:rFonts w:ascii="Arial" w:hAnsi="Arial" w:cs="Arial"/>
              </w:rPr>
            </w:pPr>
            <w:proofErr w:type="spellStart"/>
            <w:r w:rsidRPr="00A4320B">
              <w:rPr>
                <w:rFonts w:ascii="Arial" w:hAnsi="Arial" w:cs="Arial"/>
              </w:rPr>
              <w:t>Guselkumab</w:t>
            </w:r>
            <w:proofErr w:type="spellEnd"/>
            <w:r w:rsidRPr="00A4320B">
              <w:rPr>
                <w:rFonts w:ascii="Arial" w:hAnsi="Arial" w:cs="Arial"/>
              </w:rPr>
              <w:t xml:space="preserve"> for treating moderate to severe plaque psoriasis</w:t>
            </w:r>
          </w:p>
        </w:tc>
        <w:tc>
          <w:tcPr>
            <w:tcW w:w="1479" w:type="dxa"/>
          </w:tcPr>
          <w:p w:rsidR="004A2AEB" w:rsidRPr="00A4320B" w:rsidRDefault="004A2AEB" w:rsidP="00A4320B">
            <w:pPr>
              <w:pStyle w:val="ListParagraph"/>
              <w:tabs>
                <w:tab w:val="left" w:pos="1080"/>
              </w:tabs>
              <w:ind w:left="0"/>
              <w:jc w:val="center"/>
              <w:rPr>
                <w:rFonts w:ascii="Arial" w:hAnsi="Arial" w:cs="Arial"/>
              </w:rPr>
            </w:pPr>
            <w:r w:rsidRPr="00A4320B">
              <w:rPr>
                <w:rFonts w:ascii="Arial" w:hAnsi="Arial" w:cs="Arial"/>
              </w:rPr>
              <w:t>RED</w:t>
            </w:r>
          </w:p>
        </w:tc>
      </w:tr>
      <w:tr w:rsidR="004A2AEB" w:rsidRPr="00A4320B" w:rsidTr="00A91CE4">
        <w:tc>
          <w:tcPr>
            <w:tcW w:w="1843" w:type="dxa"/>
          </w:tcPr>
          <w:p w:rsidR="004A2AEB" w:rsidRPr="00A4320B" w:rsidRDefault="004A2AEB" w:rsidP="00A4320B">
            <w:pPr>
              <w:pStyle w:val="ListParagraph"/>
              <w:tabs>
                <w:tab w:val="left" w:pos="1080"/>
              </w:tabs>
              <w:ind w:left="0"/>
              <w:jc w:val="center"/>
              <w:rPr>
                <w:rFonts w:ascii="Arial" w:hAnsi="Arial" w:cs="Arial"/>
              </w:rPr>
            </w:pPr>
            <w:r w:rsidRPr="00A4320B">
              <w:rPr>
                <w:rFonts w:ascii="Arial" w:hAnsi="Arial" w:cs="Arial"/>
              </w:rPr>
              <w:t xml:space="preserve">NICE </w:t>
            </w:r>
            <w:r w:rsidR="000574C4" w:rsidRPr="00A4320B">
              <w:rPr>
                <w:rFonts w:ascii="Arial" w:hAnsi="Arial" w:cs="Arial"/>
              </w:rPr>
              <w:t>TA522</w:t>
            </w:r>
          </w:p>
        </w:tc>
        <w:tc>
          <w:tcPr>
            <w:tcW w:w="5954" w:type="dxa"/>
          </w:tcPr>
          <w:p w:rsidR="004A2AEB" w:rsidRPr="00A4320B" w:rsidRDefault="000574C4" w:rsidP="004A2AEB">
            <w:pPr>
              <w:tabs>
                <w:tab w:val="left" w:pos="1080"/>
              </w:tabs>
              <w:rPr>
                <w:rFonts w:ascii="Arial" w:hAnsi="Arial" w:cs="Arial"/>
              </w:rPr>
            </w:pPr>
            <w:proofErr w:type="spellStart"/>
            <w:r w:rsidRPr="00A4320B">
              <w:rPr>
                <w:rFonts w:ascii="Arial" w:hAnsi="Arial" w:cs="Arial"/>
              </w:rPr>
              <w:t>Pembrolizumab</w:t>
            </w:r>
            <w:proofErr w:type="spellEnd"/>
            <w:r w:rsidRPr="00A4320B">
              <w:rPr>
                <w:rFonts w:ascii="Arial" w:hAnsi="Arial" w:cs="Arial"/>
              </w:rPr>
              <w:t xml:space="preserve"> for untreated locally advanced or metastatic urothelial cancer when cisplatin is unsuitable</w:t>
            </w:r>
          </w:p>
        </w:tc>
        <w:tc>
          <w:tcPr>
            <w:tcW w:w="1479" w:type="dxa"/>
          </w:tcPr>
          <w:p w:rsidR="004A2AEB" w:rsidRPr="00A4320B" w:rsidRDefault="004A2AEB" w:rsidP="00A4320B">
            <w:pPr>
              <w:jc w:val="center"/>
              <w:rPr>
                <w:rFonts w:ascii="Arial" w:hAnsi="Arial" w:cs="Arial"/>
              </w:rPr>
            </w:pPr>
            <w:r w:rsidRPr="00A4320B">
              <w:rPr>
                <w:rFonts w:ascii="Arial" w:hAnsi="Arial" w:cs="Arial"/>
              </w:rPr>
              <w:t>RED</w:t>
            </w:r>
          </w:p>
        </w:tc>
      </w:tr>
      <w:tr w:rsidR="004A2AEB" w:rsidRPr="00A4320B" w:rsidTr="00A91CE4">
        <w:tc>
          <w:tcPr>
            <w:tcW w:w="1843" w:type="dxa"/>
          </w:tcPr>
          <w:p w:rsidR="004A2AEB" w:rsidRPr="00A4320B" w:rsidRDefault="004A2AEB" w:rsidP="00A4320B">
            <w:pPr>
              <w:pStyle w:val="ListParagraph"/>
              <w:tabs>
                <w:tab w:val="left" w:pos="1080"/>
              </w:tabs>
              <w:ind w:left="0"/>
              <w:jc w:val="center"/>
              <w:rPr>
                <w:rFonts w:ascii="Arial" w:hAnsi="Arial" w:cs="Arial"/>
              </w:rPr>
            </w:pPr>
            <w:r w:rsidRPr="00A4320B">
              <w:rPr>
                <w:rFonts w:ascii="Arial" w:hAnsi="Arial" w:cs="Arial"/>
              </w:rPr>
              <w:t xml:space="preserve">NICE </w:t>
            </w:r>
            <w:r w:rsidR="000574C4" w:rsidRPr="00A4320B">
              <w:rPr>
                <w:rFonts w:ascii="Arial" w:hAnsi="Arial" w:cs="Arial"/>
              </w:rPr>
              <w:t>TA523</w:t>
            </w:r>
          </w:p>
        </w:tc>
        <w:tc>
          <w:tcPr>
            <w:tcW w:w="5954" w:type="dxa"/>
          </w:tcPr>
          <w:p w:rsidR="004A2AEB" w:rsidRPr="00A4320B" w:rsidRDefault="000574C4" w:rsidP="004A2AEB">
            <w:pPr>
              <w:tabs>
                <w:tab w:val="left" w:pos="1080"/>
              </w:tabs>
              <w:rPr>
                <w:rFonts w:ascii="Arial" w:hAnsi="Arial" w:cs="Arial"/>
              </w:rPr>
            </w:pPr>
            <w:proofErr w:type="spellStart"/>
            <w:r w:rsidRPr="00A4320B">
              <w:rPr>
                <w:rFonts w:ascii="Arial" w:hAnsi="Arial" w:cs="Arial"/>
              </w:rPr>
              <w:t>Midostaurin</w:t>
            </w:r>
            <w:proofErr w:type="spellEnd"/>
            <w:r w:rsidRPr="00A4320B">
              <w:rPr>
                <w:rFonts w:ascii="Arial" w:hAnsi="Arial" w:cs="Arial"/>
              </w:rPr>
              <w:t xml:space="preserve"> for untreated acute myeloid leukaemia</w:t>
            </w:r>
          </w:p>
        </w:tc>
        <w:tc>
          <w:tcPr>
            <w:tcW w:w="1479" w:type="dxa"/>
          </w:tcPr>
          <w:p w:rsidR="004A2AEB" w:rsidRPr="00A4320B" w:rsidRDefault="004A2AEB" w:rsidP="00A4320B">
            <w:pPr>
              <w:jc w:val="center"/>
              <w:rPr>
                <w:rFonts w:ascii="Arial" w:hAnsi="Arial" w:cs="Arial"/>
              </w:rPr>
            </w:pPr>
            <w:r w:rsidRPr="00A4320B">
              <w:rPr>
                <w:rFonts w:ascii="Arial" w:hAnsi="Arial" w:cs="Arial"/>
              </w:rPr>
              <w:t>RED</w:t>
            </w:r>
          </w:p>
        </w:tc>
      </w:tr>
      <w:tr w:rsidR="004A2AEB" w:rsidRPr="00A4320B" w:rsidTr="00A91CE4">
        <w:tc>
          <w:tcPr>
            <w:tcW w:w="1843" w:type="dxa"/>
          </w:tcPr>
          <w:p w:rsidR="004A2AEB" w:rsidRPr="00A4320B" w:rsidRDefault="004A2AEB" w:rsidP="00A4320B">
            <w:pPr>
              <w:pStyle w:val="ListParagraph"/>
              <w:tabs>
                <w:tab w:val="left" w:pos="1080"/>
              </w:tabs>
              <w:ind w:left="0"/>
              <w:jc w:val="center"/>
              <w:rPr>
                <w:rFonts w:ascii="Arial" w:hAnsi="Arial" w:cs="Arial"/>
              </w:rPr>
            </w:pPr>
            <w:r w:rsidRPr="00A4320B">
              <w:rPr>
                <w:rFonts w:ascii="Arial" w:hAnsi="Arial" w:cs="Arial"/>
              </w:rPr>
              <w:t xml:space="preserve">NICE </w:t>
            </w:r>
            <w:r w:rsidR="000574C4" w:rsidRPr="00A4320B">
              <w:rPr>
                <w:rFonts w:ascii="Arial" w:hAnsi="Arial" w:cs="Arial"/>
              </w:rPr>
              <w:t>TA524</w:t>
            </w:r>
          </w:p>
        </w:tc>
        <w:tc>
          <w:tcPr>
            <w:tcW w:w="5954" w:type="dxa"/>
          </w:tcPr>
          <w:p w:rsidR="004A2AEB" w:rsidRPr="00A4320B" w:rsidRDefault="000574C4" w:rsidP="00A51211">
            <w:pPr>
              <w:pStyle w:val="ListParagraph"/>
              <w:tabs>
                <w:tab w:val="left" w:pos="1080"/>
              </w:tabs>
              <w:ind w:left="0"/>
              <w:rPr>
                <w:rFonts w:ascii="Arial" w:hAnsi="Arial" w:cs="Arial"/>
              </w:rPr>
            </w:pPr>
            <w:proofErr w:type="spellStart"/>
            <w:r w:rsidRPr="00A4320B">
              <w:rPr>
                <w:rFonts w:ascii="Arial" w:hAnsi="Arial" w:cs="Arial"/>
              </w:rPr>
              <w:t>Brentuximab</w:t>
            </w:r>
            <w:proofErr w:type="spellEnd"/>
            <w:r w:rsidRPr="00A4320B">
              <w:rPr>
                <w:rFonts w:ascii="Arial" w:hAnsi="Arial" w:cs="Arial"/>
              </w:rPr>
              <w:t xml:space="preserve"> </w:t>
            </w:r>
            <w:proofErr w:type="spellStart"/>
            <w:r w:rsidRPr="00A4320B">
              <w:rPr>
                <w:rFonts w:ascii="Arial" w:hAnsi="Arial" w:cs="Arial"/>
              </w:rPr>
              <w:t>vedotin</w:t>
            </w:r>
            <w:proofErr w:type="spellEnd"/>
            <w:r w:rsidRPr="00A4320B">
              <w:rPr>
                <w:rFonts w:ascii="Arial" w:hAnsi="Arial" w:cs="Arial"/>
              </w:rPr>
              <w:t xml:space="preserve"> for treating CD30-positive Hodgkin lymphoma</w:t>
            </w:r>
          </w:p>
        </w:tc>
        <w:tc>
          <w:tcPr>
            <w:tcW w:w="1479" w:type="dxa"/>
          </w:tcPr>
          <w:p w:rsidR="004A2AEB" w:rsidRPr="00A4320B" w:rsidRDefault="004A2AEB" w:rsidP="00A4320B">
            <w:pPr>
              <w:jc w:val="center"/>
              <w:rPr>
                <w:rFonts w:ascii="Arial" w:hAnsi="Arial" w:cs="Arial"/>
              </w:rPr>
            </w:pPr>
            <w:r w:rsidRPr="00A4320B">
              <w:rPr>
                <w:rFonts w:ascii="Arial" w:hAnsi="Arial" w:cs="Arial"/>
              </w:rPr>
              <w:t>RED</w:t>
            </w:r>
          </w:p>
        </w:tc>
      </w:tr>
      <w:tr w:rsidR="004A2AEB" w:rsidRPr="00A4320B" w:rsidTr="00A91CE4">
        <w:tc>
          <w:tcPr>
            <w:tcW w:w="1843" w:type="dxa"/>
          </w:tcPr>
          <w:p w:rsidR="004A2AEB" w:rsidRPr="00A4320B" w:rsidRDefault="004A2AEB" w:rsidP="00A4320B">
            <w:pPr>
              <w:pStyle w:val="ListParagraph"/>
              <w:tabs>
                <w:tab w:val="left" w:pos="1080"/>
              </w:tabs>
              <w:ind w:left="0"/>
              <w:jc w:val="center"/>
              <w:rPr>
                <w:rFonts w:ascii="Arial" w:hAnsi="Arial" w:cs="Arial"/>
              </w:rPr>
            </w:pPr>
            <w:r w:rsidRPr="00A4320B">
              <w:rPr>
                <w:rFonts w:ascii="Arial" w:hAnsi="Arial" w:cs="Arial"/>
              </w:rPr>
              <w:t xml:space="preserve">NICE </w:t>
            </w:r>
            <w:r w:rsidR="000574C4" w:rsidRPr="00A4320B">
              <w:rPr>
                <w:rFonts w:ascii="Arial" w:hAnsi="Arial" w:cs="Arial"/>
              </w:rPr>
              <w:t>TA525</w:t>
            </w:r>
          </w:p>
        </w:tc>
        <w:tc>
          <w:tcPr>
            <w:tcW w:w="5954" w:type="dxa"/>
          </w:tcPr>
          <w:p w:rsidR="004A2AEB" w:rsidRPr="00A4320B" w:rsidRDefault="000574C4" w:rsidP="00A51211">
            <w:pPr>
              <w:pStyle w:val="ListParagraph"/>
              <w:tabs>
                <w:tab w:val="left" w:pos="1080"/>
              </w:tabs>
              <w:ind w:left="0"/>
              <w:rPr>
                <w:rFonts w:ascii="Arial" w:hAnsi="Arial" w:cs="Arial"/>
              </w:rPr>
            </w:pPr>
            <w:proofErr w:type="spellStart"/>
            <w:r w:rsidRPr="00A4320B">
              <w:rPr>
                <w:rFonts w:ascii="Arial" w:hAnsi="Arial" w:cs="Arial"/>
              </w:rPr>
              <w:t>Atezolizumab</w:t>
            </w:r>
            <w:proofErr w:type="spellEnd"/>
            <w:r w:rsidRPr="00A4320B">
              <w:rPr>
                <w:rFonts w:ascii="Arial" w:hAnsi="Arial" w:cs="Arial"/>
              </w:rPr>
              <w:t xml:space="preserve"> for treating locally advanced or metastatic urothelial carcinoma after platinum containing chemotherapy</w:t>
            </w:r>
          </w:p>
        </w:tc>
        <w:tc>
          <w:tcPr>
            <w:tcW w:w="1479" w:type="dxa"/>
          </w:tcPr>
          <w:p w:rsidR="004A2AEB" w:rsidRPr="00A4320B" w:rsidRDefault="004A2AEB" w:rsidP="00A4320B">
            <w:pPr>
              <w:jc w:val="center"/>
              <w:rPr>
                <w:rFonts w:ascii="Arial" w:hAnsi="Arial" w:cs="Arial"/>
              </w:rPr>
            </w:pPr>
            <w:r w:rsidRPr="00A4320B">
              <w:rPr>
                <w:rFonts w:ascii="Arial" w:hAnsi="Arial" w:cs="Arial"/>
              </w:rPr>
              <w:t>RED</w:t>
            </w:r>
          </w:p>
        </w:tc>
      </w:tr>
      <w:tr w:rsidR="004A2AEB" w:rsidRPr="00A4320B" w:rsidTr="00A91CE4">
        <w:tc>
          <w:tcPr>
            <w:tcW w:w="1843" w:type="dxa"/>
          </w:tcPr>
          <w:p w:rsidR="004A2AEB" w:rsidRPr="00A4320B" w:rsidRDefault="004A2AEB" w:rsidP="00A4320B">
            <w:pPr>
              <w:pStyle w:val="ListParagraph"/>
              <w:tabs>
                <w:tab w:val="left" w:pos="1080"/>
              </w:tabs>
              <w:ind w:left="0"/>
              <w:jc w:val="center"/>
              <w:rPr>
                <w:rFonts w:ascii="Arial" w:hAnsi="Arial" w:cs="Arial"/>
              </w:rPr>
            </w:pPr>
            <w:r w:rsidRPr="00A4320B">
              <w:rPr>
                <w:rFonts w:ascii="Arial" w:hAnsi="Arial" w:cs="Arial"/>
              </w:rPr>
              <w:t xml:space="preserve">NICE </w:t>
            </w:r>
            <w:r w:rsidR="000574C4" w:rsidRPr="00A4320B">
              <w:rPr>
                <w:rFonts w:ascii="Arial" w:hAnsi="Arial" w:cs="Arial"/>
              </w:rPr>
              <w:t>TA526</w:t>
            </w:r>
          </w:p>
        </w:tc>
        <w:tc>
          <w:tcPr>
            <w:tcW w:w="5954" w:type="dxa"/>
          </w:tcPr>
          <w:p w:rsidR="004A2AEB" w:rsidRPr="00A4320B" w:rsidRDefault="000574C4" w:rsidP="00A51211">
            <w:pPr>
              <w:pStyle w:val="ListParagraph"/>
              <w:tabs>
                <w:tab w:val="left" w:pos="1080"/>
              </w:tabs>
              <w:ind w:left="0"/>
              <w:rPr>
                <w:rFonts w:ascii="Arial" w:hAnsi="Arial" w:cs="Arial"/>
              </w:rPr>
            </w:pPr>
            <w:r w:rsidRPr="00A4320B">
              <w:rPr>
                <w:rFonts w:ascii="Arial" w:hAnsi="Arial" w:cs="Arial"/>
              </w:rPr>
              <w:t xml:space="preserve">Arsenic trioxide for treating acute </w:t>
            </w:r>
            <w:proofErr w:type="spellStart"/>
            <w:r w:rsidRPr="00A4320B">
              <w:rPr>
                <w:rFonts w:ascii="Arial" w:hAnsi="Arial" w:cs="Arial"/>
              </w:rPr>
              <w:t>promyelocytic</w:t>
            </w:r>
            <w:proofErr w:type="spellEnd"/>
            <w:r w:rsidRPr="00A4320B">
              <w:rPr>
                <w:rFonts w:ascii="Arial" w:hAnsi="Arial" w:cs="Arial"/>
              </w:rPr>
              <w:t xml:space="preserve"> leukaemia</w:t>
            </w:r>
          </w:p>
        </w:tc>
        <w:tc>
          <w:tcPr>
            <w:tcW w:w="1479" w:type="dxa"/>
          </w:tcPr>
          <w:p w:rsidR="004A2AEB" w:rsidRPr="00A4320B" w:rsidRDefault="004A2AEB" w:rsidP="00A4320B">
            <w:pPr>
              <w:jc w:val="center"/>
              <w:rPr>
                <w:rFonts w:ascii="Arial" w:hAnsi="Arial" w:cs="Arial"/>
              </w:rPr>
            </w:pPr>
            <w:r w:rsidRPr="00A4320B">
              <w:rPr>
                <w:rFonts w:ascii="Arial" w:hAnsi="Arial" w:cs="Arial"/>
              </w:rPr>
              <w:t>RED</w:t>
            </w:r>
          </w:p>
        </w:tc>
      </w:tr>
      <w:tr w:rsidR="004A2AEB" w:rsidRPr="00A4320B" w:rsidTr="00A91CE4">
        <w:tc>
          <w:tcPr>
            <w:tcW w:w="1843" w:type="dxa"/>
          </w:tcPr>
          <w:p w:rsidR="004A2AEB" w:rsidRPr="00A4320B" w:rsidRDefault="004A2AEB" w:rsidP="00A4320B">
            <w:pPr>
              <w:pStyle w:val="ListParagraph"/>
              <w:tabs>
                <w:tab w:val="left" w:pos="1080"/>
              </w:tabs>
              <w:ind w:left="0"/>
              <w:jc w:val="center"/>
              <w:rPr>
                <w:rFonts w:ascii="Arial" w:hAnsi="Arial" w:cs="Arial"/>
              </w:rPr>
            </w:pPr>
            <w:r w:rsidRPr="00A4320B">
              <w:rPr>
                <w:rFonts w:ascii="Arial" w:hAnsi="Arial" w:cs="Arial"/>
              </w:rPr>
              <w:t xml:space="preserve">NICE </w:t>
            </w:r>
            <w:r w:rsidR="000574C4" w:rsidRPr="00A4320B">
              <w:rPr>
                <w:rFonts w:ascii="Arial" w:hAnsi="Arial" w:cs="Arial"/>
              </w:rPr>
              <w:t>TA217</w:t>
            </w:r>
          </w:p>
        </w:tc>
        <w:tc>
          <w:tcPr>
            <w:tcW w:w="5954" w:type="dxa"/>
          </w:tcPr>
          <w:p w:rsidR="004A2AEB" w:rsidRPr="00A4320B" w:rsidRDefault="000574C4" w:rsidP="004A2AEB">
            <w:pPr>
              <w:tabs>
                <w:tab w:val="left" w:pos="1080"/>
              </w:tabs>
              <w:rPr>
                <w:rFonts w:ascii="Arial" w:hAnsi="Arial" w:cs="Arial"/>
              </w:rPr>
            </w:pPr>
            <w:r w:rsidRPr="00A4320B">
              <w:rPr>
                <w:rFonts w:ascii="Arial" w:hAnsi="Arial" w:cs="Arial"/>
              </w:rPr>
              <w:t xml:space="preserve">Donepezil, </w:t>
            </w:r>
            <w:proofErr w:type="spellStart"/>
            <w:r w:rsidRPr="00A4320B">
              <w:rPr>
                <w:rFonts w:ascii="Arial" w:hAnsi="Arial" w:cs="Arial"/>
              </w:rPr>
              <w:t>galantamine</w:t>
            </w:r>
            <w:proofErr w:type="spellEnd"/>
            <w:r w:rsidRPr="00A4320B">
              <w:rPr>
                <w:rFonts w:ascii="Arial" w:hAnsi="Arial" w:cs="Arial"/>
              </w:rPr>
              <w:t xml:space="preserve">, </w:t>
            </w:r>
            <w:proofErr w:type="spellStart"/>
            <w:r w:rsidRPr="00A4320B">
              <w:rPr>
                <w:rFonts w:ascii="Arial" w:hAnsi="Arial" w:cs="Arial"/>
              </w:rPr>
              <w:t>rivastigmine</w:t>
            </w:r>
            <w:proofErr w:type="spellEnd"/>
            <w:r w:rsidRPr="00A4320B">
              <w:rPr>
                <w:rFonts w:ascii="Arial" w:hAnsi="Arial" w:cs="Arial"/>
              </w:rPr>
              <w:t xml:space="preserve"> and </w:t>
            </w:r>
            <w:proofErr w:type="spellStart"/>
            <w:r w:rsidRPr="00A4320B">
              <w:rPr>
                <w:rFonts w:ascii="Arial" w:hAnsi="Arial" w:cs="Arial"/>
              </w:rPr>
              <w:t>memantine</w:t>
            </w:r>
            <w:proofErr w:type="spellEnd"/>
            <w:r w:rsidRPr="00A4320B">
              <w:rPr>
                <w:rFonts w:ascii="Arial" w:hAnsi="Arial" w:cs="Arial"/>
              </w:rPr>
              <w:t xml:space="preserve"> for the treatment of Alzheimer's disease</w:t>
            </w:r>
          </w:p>
        </w:tc>
        <w:tc>
          <w:tcPr>
            <w:tcW w:w="1479" w:type="dxa"/>
          </w:tcPr>
          <w:p w:rsidR="004A2AEB" w:rsidRPr="00A4320B" w:rsidRDefault="004A2AEB" w:rsidP="00A4320B">
            <w:pPr>
              <w:jc w:val="center"/>
              <w:rPr>
                <w:rFonts w:ascii="Arial" w:hAnsi="Arial" w:cs="Arial"/>
              </w:rPr>
            </w:pPr>
            <w:r w:rsidRPr="00A4320B">
              <w:rPr>
                <w:rFonts w:ascii="Arial" w:hAnsi="Arial" w:cs="Arial"/>
              </w:rPr>
              <w:t>RED</w:t>
            </w:r>
          </w:p>
        </w:tc>
      </w:tr>
      <w:tr w:rsidR="00A91CE4" w:rsidRPr="00A4320B" w:rsidTr="00A91CE4">
        <w:tc>
          <w:tcPr>
            <w:tcW w:w="1843" w:type="dxa"/>
          </w:tcPr>
          <w:p w:rsidR="00A91CE4" w:rsidRPr="00A4320B" w:rsidRDefault="00A91CE4" w:rsidP="00A4320B">
            <w:pPr>
              <w:pStyle w:val="ListParagraph"/>
              <w:tabs>
                <w:tab w:val="left" w:pos="1080"/>
              </w:tabs>
              <w:ind w:left="0"/>
              <w:jc w:val="center"/>
              <w:rPr>
                <w:rFonts w:ascii="Arial" w:hAnsi="Arial" w:cs="Arial"/>
              </w:rPr>
            </w:pPr>
            <w:r w:rsidRPr="00A4320B">
              <w:rPr>
                <w:rFonts w:ascii="Arial" w:hAnsi="Arial" w:cs="Arial"/>
              </w:rPr>
              <w:t xml:space="preserve">NICE </w:t>
            </w:r>
            <w:r w:rsidR="000574C4" w:rsidRPr="00A4320B">
              <w:rPr>
                <w:rFonts w:ascii="Arial" w:hAnsi="Arial" w:cs="Arial"/>
              </w:rPr>
              <w:t>TA527</w:t>
            </w:r>
          </w:p>
        </w:tc>
        <w:tc>
          <w:tcPr>
            <w:tcW w:w="5954" w:type="dxa"/>
          </w:tcPr>
          <w:p w:rsidR="00A91CE4" w:rsidRPr="00A4320B" w:rsidRDefault="000574C4" w:rsidP="004A2AEB">
            <w:pPr>
              <w:tabs>
                <w:tab w:val="left" w:pos="1080"/>
              </w:tabs>
              <w:rPr>
                <w:rFonts w:ascii="Arial" w:hAnsi="Arial" w:cs="Arial"/>
              </w:rPr>
            </w:pPr>
            <w:r w:rsidRPr="00A4320B">
              <w:rPr>
                <w:rFonts w:ascii="Arial" w:hAnsi="Arial" w:cs="Arial"/>
              </w:rPr>
              <w:t xml:space="preserve">Beta interferons and </w:t>
            </w:r>
            <w:proofErr w:type="spellStart"/>
            <w:r w:rsidRPr="00A4320B">
              <w:rPr>
                <w:rFonts w:ascii="Arial" w:hAnsi="Arial" w:cs="Arial"/>
              </w:rPr>
              <w:t>glatiramer</w:t>
            </w:r>
            <w:proofErr w:type="spellEnd"/>
            <w:r w:rsidRPr="00A4320B">
              <w:rPr>
                <w:rFonts w:ascii="Arial" w:hAnsi="Arial" w:cs="Arial"/>
              </w:rPr>
              <w:t xml:space="preserve"> acetate for treating multiple sclerosis</w:t>
            </w:r>
          </w:p>
        </w:tc>
        <w:tc>
          <w:tcPr>
            <w:tcW w:w="1479" w:type="dxa"/>
          </w:tcPr>
          <w:p w:rsidR="00A91CE4" w:rsidRPr="00A4320B" w:rsidRDefault="00A91CE4" w:rsidP="00A4320B">
            <w:pPr>
              <w:jc w:val="center"/>
              <w:rPr>
                <w:rFonts w:ascii="Arial" w:hAnsi="Arial" w:cs="Arial"/>
              </w:rPr>
            </w:pPr>
            <w:r w:rsidRPr="00A4320B">
              <w:rPr>
                <w:rFonts w:ascii="Arial" w:hAnsi="Arial" w:cs="Arial"/>
              </w:rPr>
              <w:t>RED</w:t>
            </w:r>
          </w:p>
        </w:tc>
      </w:tr>
      <w:tr w:rsidR="00A91CE4" w:rsidRPr="00A4320B" w:rsidTr="00A91CE4">
        <w:tc>
          <w:tcPr>
            <w:tcW w:w="1843" w:type="dxa"/>
          </w:tcPr>
          <w:p w:rsidR="00A91CE4" w:rsidRPr="00A4320B" w:rsidRDefault="00A91CE4" w:rsidP="00A4320B">
            <w:pPr>
              <w:pStyle w:val="ListParagraph"/>
              <w:tabs>
                <w:tab w:val="left" w:pos="1080"/>
              </w:tabs>
              <w:ind w:left="0"/>
              <w:jc w:val="center"/>
              <w:rPr>
                <w:rFonts w:ascii="Arial" w:hAnsi="Arial" w:cs="Arial"/>
              </w:rPr>
            </w:pPr>
            <w:r w:rsidRPr="00A4320B">
              <w:rPr>
                <w:rFonts w:ascii="Arial" w:hAnsi="Arial" w:cs="Arial"/>
              </w:rPr>
              <w:t xml:space="preserve">NICE </w:t>
            </w:r>
            <w:r w:rsidR="000574C4" w:rsidRPr="00A4320B">
              <w:rPr>
                <w:rFonts w:ascii="Arial" w:hAnsi="Arial" w:cs="Arial"/>
              </w:rPr>
              <w:t>TA528</w:t>
            </w:r>
          </w:p>
        </w:tc>
        <w:tc>
          <w:tcPr>
            <w:tcW w:w="5954" w:type="dxa"/>
          </w:tcPr>
          <w:p w:rsidR="00A91CE4" w:rsidRPr="00A4320B" w:rsidRDefault="000574C4" w:rsidP="004A2AEB">
            <w:pPr>
              <w:tabs>
                <w:tab w:val="left" w:pos="1080"/>
              </w:tabs>
              <w:rPr>
                <w:rFonts w:ascii="Arial" w:hAnsi="Arial" w:cs="Arial"/>
              </w:rPr>
            </w:pPr>
            <w:proofErr w:type="spellStart"/>
            <w:r w:rsidRPr="00A4320B">
              <w:rPr>
                <w:rFonts w:ascii="Arial" w:hAnsi="Arial" w:cs="Arial"/>
              </w:rPr>
              <w:t>Niraparib</w:t>
            </w:r>
            <w:proofErr w:type="spellEnd"/>
            <w:r w:rsidRPr="00A4320B">
              <w:rPr>
                <w:rFonts w:ascii="Arial" w:hAnsi="Arial" w:cs="Arial"/>
              </w:rPr>
              <w:t xml:space="preserve"> for maintenance treatment of relapsed, platinum-sensitive ovarian, fallopian tube and peritoneal cancer</w:t>
            </w:r>
          </w:p>
        </w:tc>
        <w:tc>
          <w:tcPr>
            <w:tcW w:w="1479" w:type="dxa"/>
          </w:tcPr>
          <w:p w:rsidR="00A91CE4" w:rsidRPr="00A4320B" w:rsidRDefault="00A91CE4" w:rsidP="00A4320B">
            <w:pPr>
              <w:jc w:val="center"/>
              <w:rPr>
                <w:rFonts w:ascii="Arial" w:hAnsi="Arial" w:cs="Arial"/>
              </w:rPr>
            </w:pPr>
            <w:r w:rsidRPr="00A4320B">
              <w:rPr>
                <w:rFonts w:ascii="Arial" w:hAnsi="Arial" w:cs="Arial"/>
              </w:rPr>
              <w:t>RED</w:t>
            </w:r>
          </w:p>
        </w:tc>
      </w:tr>
      <w:tr w:rsidR="000574C4" w:rsidRPr="00A4320B" w:rsidTr="00A91CE4">
        <w:tc>
          <w:tcPr>
            <w:tcW w:w="1843" w:type="dxa"/>
          </w:tcPr>
          <w:p w:rsidR="000574C4" w:rsidRPr="00A4320B" w:rsidRDefault="000574C4" w:rsidP="00A4320B">
            <w:pPr>
              <w:pStyle w:val="ListParagraph"/>
              <w:tabs>
                <w:tab w:val="left" w:pos="1080"/>
              </w:tabs>
              <w:ind w:left="0"/>
              <w:jc w:val="center"/>
              <w:rPr>
                <w:rFonts w:ascii="Arial" w:hAnsi="Arial" w:cs="Arial"/>
              </w:rPr>
            </w:pPr>
            <w:r w:rsidRPr="00A4320B">
              <w:rPr>
                <w:rFonts w:ascii="Arial" w:hAnsi="Arial" w:cs="Arial"/>
              </w:rPr>
              <w:t>NICE TA529</w:t>
            </w:r>
          </w:p>
        </w:tc>
        <w:tc>
          <w:tcPr>
            <w:tcW w:w="5954" w:type="dxa"/>
          </w:tcPr>
          <w:p w:rsidR="000574C4" w:rsidRPr="00A4320B" w:rsidRDefault="000574C4" w:rsidP="004A2AEB">
            <w:pPr>
              <w:tabs>
                <w:tab w:val="left" w:pos="1080"/>
              </w:tabs>
              <w:rPr>
                <w:rFonts w:ascii="Arial" w:hAnsi="Arial" w:cs="Arial"/>
              </w:rPr>
            </w:pPr>
            <w:proofErr w:type="spellStart"/>
            <w:r w:rsidRPr="00A4320B">
              <w:rPr>
                <w:rFonts w:ascii="Arial" w:hAnsi="Arial" w:cs="Arial"/>
              </w:rPr>
              <w:t>Crizotinib</w:t>
            </w:r>
            <w:proofErr w:type="spellEnd"/>
            <w:r w:rsidRPr="00A4320B">
              <w:rPr>
                <w:rFonts w:ascii="Arial" w:hAnsi="Arial" w:cs="Arial"/>
              </w:rPr>
              <w:t xml:space="preserve"> for treating ROS1-positive advanced non-small-cell lung cancer</w:t>
            </w:r>
          </w:p>
        </w:tc>
        <w:tc>
          <w:tcPr>
            <w:tcW w:w="1479" w:type="dxa"/>
          </w:tcPr>
          <w:p w:rsidR="000574C4" w:rsidRPr="00A4320B" w:rsidRDefault="000574C4" w:rsidP="00A4320B">
            <w:pPr>
              <w:jc w:val="center"/>
              <w:rPr>
                <w:rFonts w:ascii="Arial" w:hAnsi="Arial" w:cs="Arial"/>
              </w:rPr>
            </w:pPr>
            <w:r w:rsidRPr="00A4320B">
              <w:rPr>
                <w:rFonts w:ascii="Arial" w:hAnsi="Arial" w:cs="Arial"/>
              </w:rPr>
              <w:t>RED</w:t>
            </w:r>
          </w:p>
        </w:tc>
      </w:tr>
      <w:tr w:rsidR="000574C4" w:rsidRPr="00A4320B" w:rsidTr="00A91CE4">
        <w:tc>
          <w:tcPr>
            <w:tcW w:w="1843" w:type="dxa"/>
          </w:tcPr>
          <w:p w:rsidR="000574C4" w:rsidRPr="00A4320B" w:rsidRDefault="000574C4" w:rsidP="00A4320B">
            <w:pPr>
              <w:pStyle w:val="ListParagraph"/>
              <w:tabs>
                <w:tab w:val="left" w:pos="1080"/>
              </w:tabs>
              <w:ind w:left="0"/>
              <w:jc w:val="center"/>
              <w:rPr>
                <w:rFonts w:ascii="Arial" w:hAnsi="Arial" w:cs="Arial"/>
              </w:rPr>
            </w:pPr>
            <w:r w:rsidRPr="00A4320B">
              <w:rPr>
                <w:rFonts w:ascii="Arial" w:hAnsi="Arial" w:cs="Arial"/>
              </w:rPr>
              <w:t>NICE TA530</w:t>
            </w:r>
          </w:p>
        </w:tc>
        <w:tc>
          <w:tcPr>
            <w:tcW w:w="5954" w:type="dxa"/>
          </w:tcPr>
          <w:p w:rsidR="000574C4" w:rsidRPr="00A4320B" w:rsidRDefault="000574C4" w:rsidP="004A2AEB">
            <w:pPr>
              <w:tabs>
                <w:tab w:val="left" w:pos="1080"/>
              </w:tabs>
              <w:rPr>
                <w:rFonts w:ascii="Arial" w:hAnsi="Arial" w:cs="Arial"/>
              </w:rPr>
            </w:pPr>
            <w:proofErr w:type="spellStart"/>
            <w:r w:rsidRPr="00A4320B">
              <w:rPr>
                <w:rFonts w:ascii="Arial" w:hAnsi="Arial" w:cs="Arial"/>
              </w:rPr>
              <w:t>Nivolumab</w:t>
            </w:r>
            <w:proofErr w:type="spellEnd"/>
            <w:r w:rsidRPr="00A4320B">
              <w:rPr>
                <w:rFonts w:ascii="Arial" w:hAnsi="Arial" w:cs="Arial"/>
              </w:rPr>
              <w:t xml:space="preserve"> for treating locally advanced </w:t>
            </w:r>
            <w:proofErr w:type="spellStart"/>
            <w:r w:rsidRPr="00A4320B">
              <w:rPr>
                <w:rFonts w:ascii="Arial" w:hAnsi="Arial" w:cs="Arial"/>
              </w:rPr>
              <w:t>unresectable</w:t>
            </w:r>
            <w:proofErr w:type="spellEnd"/>
            <w:r w:rsidRPr="00A4320B">
              <w:rPr>
                <w:rFonts w:ascii="Arial" w:hAnsi="Arial" w:cs="Arial"/>
              </w:rPr>
              <w:t xml:space="preserve"> or metastatic urothelial cancer after platinum-containing chemotherapy</w:t>
            </w:r>
          </w:p>
        </w:tc>
        <w:tc>
          <w:tcPr>
            <w:tcW w:w="1479" w:type="dxa"/>
          </w:tcPr>
          <w:p w:rsidR="000574C4" w:rsidRPr="00A4320B" w:rsidRDefault="000574C4" w:rsidP="00A4320B">
            <w:pPr>
              <w:jc w:val="center"/>
              <w:rPr>
                <w:rFonts w:ascii="Arial" w:hAnsi="Arial" w:cs="Arial"/>
              </w:rPr>
            </w:pPr>
            <w:r w:rsidRPr="00A4320B">
              <w:rPr>
                <w:rFonts w:ascii="Arial" w:hAnsi="Arial" w:cs="Arial"/>
              </w:rPr>
              <w:t>RED</w:t>
            </w:r>
          </w:p>
        </w:tc>
      </w:tr>
      <w:tr w:rsidR="000574C4" w:rsidRPr="00A4320B" w:rsidTr="00A91CE4">
        <w:tc>
          <w:tcPr>
            <w:tcW w:w="1843" w:type="dxa"/>
          </w:tcPr>
          <w:p w:rsidR="000574C4" w:rsidRPr="00A4320B" w:rsidRDefault="000574C4" w:rsidP="00A4320B">
            <w:pPr>
              <w:pStyle w:val="ListParagraph"/>
              <w:tabs>
                <w:tab w:val="left" w:pos="1080"/>
              </w:tabs>
              <w:ind w:left="0"/>
              <w:jc w:val="center"/>
              <w:rPr>
                <w:rFonts w:ascii="Arial" w:hAnsi="Arial" w:cs="Arial"/>
              </w:rPr>
            </w:pPr>
            <w:r w:rsidRPr="00A4320B">
              <w:rPr>
                <w:rFonts w:ascii="Arial" w:hAnsi="Arial" w:cs="Arial"/>
              </w:rPr>
              <w:t>NICE TA531</w:t>
            </w:r>
          </w:p>
        </w:tc>
        <w:tc>
          <w:tcPr>
            <w:tcW w:w="5954" w:type="dxa"/>
          </w:tcPr>
          <w:p w:rsidR="000574C4" w:rsidRPr="00A4320B" w:rsidRDefault="000574C4" w:rsidP="004A2AEB">
            <w:pPr>
              <w:tabs>
                <w:tab w:val="left" w:pos="1080"/>
              </w:tabs>
              <w:rPr>
                <w:rFonts w:ascii="Arial" w:hAnsi="Arial" w:cs="Arial"/>
              </w:rPr>
            </w:pPr>
            <w:proofErr w:type="spellStart"/>
            <w:r w:rsidRPr="00A4320B">
              <w:rPr>
                <w:rFonts w:ascii="Arial" w:hAnsi="Arial" w:cs="Arial"/>
              </w:rPr>
              <w:t>Pembrolizumab</w:t>
            </w:r>
            <w:proofErr w:type="spellEnd"/>
            <w:r w:rsidRPr="00A4320B">
              <w:rPr>
                <w:rFonts w:ascii="Arial" w:hAnsi="Arial" w:cs="Arial"/>
              </w:rPr>
              <w:t xml:space="preserve"> for untreated PD-L1-positive metastatic non-small-cell lung cancer</w:t>
            </w:r>
          </w:p>
        </w:tc>
        <w:tc>
          <w:tcPr>
            <w:tcW w:w="1479" w:type="dxa"/>
          </w:tcPr>
          <w:p w:rsidR="000574C4" w:rsidRPr="00A4320B" w:rsidRDefault="000574C4" w:rsidP="00A4320B">
            <w:pPr>
              <w:jc w:val="center"/>
              <w:rPr>
                <w:rFonts w:ascii="Arial" w:hAnsi="Arial" w:cs="Arial"/>
              </w:rPr>
            </w:pPr>
            <w:r w:rsidRPr="00A4320B">
              <w:rPr>
                <w:rFonts w:ascii="Arial" w:hAnsi="Arial" w:cs="Arial"/>
              </w:rPr>
              <w:t>RED</w:t>
            </w:r>
          </w:p>
        </w:tc>
      </w:tr>
      <w:tr w:rsidR="000574C4" w:rsidRPr="00A4320B" w:rsidTr="00A91CE4">
        <w:tc>
          <w:tcPr>
            <w:tcW w:w="1843" w:type="dxa"/>
          </w:tcPr>
          <w:p w:rsidR="000574C4" w:rsidRPr="00A4320B" w:rsidRDefault="000574C4" w:rsidP="00A4320B">
            <w:pPr>
              <w:pStyle w:val="ListParagraph"/>
              <w:tabs>
                <w:tab w:val="left" w:pos="1080"/>
              </w:tabs>
              <w:ind w:left="0"/>
              <w:jc w:val="center"/>
              <w:rPr>
                <w:rFonts w:ascii="Arial" w:hAnsi="Arial" w:cs="Arial"/>
              </w:rPr>
            </w:pPr>
            <w:r w:rsidRPr="00A4320B">
              <w:rPr>
                <w:rFonts w:ascii="Arial" w:hAnsi="Arial" w:cs="Arial"/>
              </w:rPr>
              <w:t>NICE TA532</w:t>
            </w:r>
          </w:p>
        </w:tc>
        <w:tc>
          <w:tcPr>
            <w:tcW w:w="5954" w:type="dxa"/>
          </w:tcPr>
          <w:p w:rsidR="000574C4" w:rsidRPr="00A4320B" w:rsidRDefault="000574C4" w:rsidP="004A2AEB">
            <w:pPr>
              <w:tabs>
                <w:tab w:val="left" w:pos="1080"/>
              </w:tabs>
              <w:rPr>
                <w:rFonts w:ascii="Arial" w:hAnsi="Arial" w:cs="Arial"/>
              </w:rPr>
            </w:pPr>
            <w:proofErr w:type="spellStart"/>
            <w:r w:rsidRPr="00A4320B">
              <w:rPr>
                <w:rFonts w:ascii="Arial" w:hAnsi="Arial" w:cs="Arial"/>
              </w:rPr>
              <w:t>Cenegermin</w:t>
            </w:r>
            <w:proofErr w:type="spellEnd"/>
            <w:r w:rsidRPr="00A4320B">
              <w:rPr>
                <w:rFonts w:ascii="Arial" w:hAnsi="Arial" w:cs="Arial"/>
              </w:rPr>
              <w:t xml:space="preserve"> for treating neurotrophic keratitis</w:t>
            </w:r>
          </w:p>
        </w:tc>
        <w:tc>
          <w:tcPr>
            <w:tcW w:w="1479" w:type="dxa"/>
          </w:tcPr>
          <w:p w:rsidR="000574C4" w:rsidRPr="00A4320B" w:rsidRDefault="000574C4" w:rsidP="00A4320B">
            <w:pPr>
              <w:jc w:val="center"/>
              <w:rPr>
                <w:rFonts w:ascii="Arial" w:hAnsi="Arial" w:cs="Arial"/>
              </w:rPr>
            </w:pPr>
            <w:r w:rsidRPr="00A4320B">
              <w:rPr>
                <w:rFonts w:ascii="Arial" w:hAnsi="Arial" w:cs="Arial"/>
              </w:rPr>
              <w:t>RED</w:t>
            </w:r>
          </w:p>
        </w:tc>
      </w:tr>
      <w:tr w:rsidR="000574C4" w:rsidRPr="00A4320B" w:rsidTr="00A91CE4">
        <w:tc>
          <w:tcPr>
            <w:tcW w:w="1843" w:type="dxa"/>
          </w:tcPr>
          <w:p w:rsidR="000574C4" w:rsidRPr="00A4320B" w:rsidRDefault="000574C4" w:rsidP="00A4320B">
            <w:pPr>
              <w:pStyle w:val="ListParagraph"/>
              <w:tabs>
                <w:tab w:val="left" w:pos="1080"/>
              </w:tabs>
              <w:ind w:left="0"/>
              <w:jc w:val="center"/>
              <w:rPr>
                <w:rFonts w:ascii="Arial" w:hAnsi="Arial" w:cs="Arial"/>
              </w:rPr>
            </w:pPr>
            <w:r w:rsidRPr="00A4320B">
              <w:rPr>
                <w:rFonts w:ascii="Arial" w:hAnsi="Arial" w:cs="Arial"/>
              </w:rPr>
              <w:t>NICE TA533</w:t>
            </w:r>
          </w:p>
        </w:tc>
        <w:tc>
          <w:tcPr>
            <w:tcW w:w="5954" w:type="dxa"/>
          </w:tcPr>
          <w:p w:rsidR="000574C4" w:rsidRPr="00A4320B" w:rsidRDefault="000574C4" w:rsidP="004A2AEB">
            <w:pPr>
              <w:tabs>
                <w:tab w:val="left" w:pos="1080"/>
              </w:tabs>
              <w:rPr>
                <w:rFonts w:ascii="Arial" w:hAnsi="Arial" w:cs="Arial"/>
              </w:rPr>
            </w:pPr>
            <w:proofErr w:type="spellStart"/>
            <w:r w:rsidRPr="00A4320B">
              <w:rPr>
                <w:rFonts w:ascii="Arial" w:hAnsi="Arial" w:cs="Arial"/>
              </w:rPr>
              <w:t>Ocrelizumab</w:t>
            </w:r>
            <w:proofErr w:type="spellEnd"/>
            <w:r w:rsidRPr="00A4320B">
              <w:rPr>
                <w:rFonts w:ascii="Arial" w:hAnsi="Arial" w:cs="Arial"/>
              </w:rPr>
              <w:t xml:space="preserve"> for treating relapsing–remitting multiple sclerosis</w:t>
            </w:r>
          </w:p>
        </w:tc>
        <w:tc>
          <w:tcPr>
            <w:tcW w:w="1479" w:type="dxa"/>
          </w:tcPr>
          <w:p w:rsidR="000574C4" w:rsidRPr="00A4320B" w:rsidRDefault="000574C4" w:rsidP="00A4320B">
            <w:pPr>
              <w:jc w:val="center"/>
              <w:rPr>
                <w:rFonts w:ascii="Arial" w:hAnsi="Arial" w:cs="Arial"/>
              </w:rPr>
            </w:pPr>
            <w:r w:rsidRPr="00A4320B">
              <w:rPr>
                <w:rFonts w:ascii="Arial" w:hAnsi="Arial" w:cs="Arial"/>
              </w:rPr>
              <w:t>RED</w:t>
            </w:r>
          </w:p>
        </w:tc>
      </w:tr>
      <w:tr w:rsidR="000574C4" w:rsidRPr="00A4320B" w:rsidTr="00A91CE4">
        <w:tc>
          <w:tcPr>
            <w:tcW w:w="1843" w:type="dxa"/>
          </w:tcPr>
          <w:p w:rsidR="000574C4" w:rsidRPr="00A4320B" w:rsidRDefault="000574C4" w:rsidP="00A4320B">
            <w:pPr>
              <w:pStyle w:val="ListParagraph"/>
              <w:tabs>
                <w:tab w:val="left" w:pos="1080"/>
              </w:tabs>
              <w:ind w:left="0"/>
              <w:jc w:val="center"/>
              <w:rPr>
                <w:rFonts w:ascii="Arial" w:hAnsi="Arial" w:cs="Arial"/>
              </w:rPr>
            </w:pPr>
            <w:r w:rsidRPr="00A4320B">
              <w:rPr>
                <w:rFonts w:ascii="Arial" w:hAnsi="Arial" w:cs="Arial"/>
              </w:rPr>
              <w:t>NICE TA492</w:t>
            </w:r>
          </w:p>
        </w:tc>
        <w:tc>
          <w:tcPr>
            <w:tcW w:w="5954" w:type="dxa"/>
          </w:tcPr>
          <w:p w:rsidR="000574C4" w:rsidRPr="00A4320B" w:rsidRDefault="000574C4" w:rsidP="004A2AEB">
            <w:pPr>
              <w:tabs>
                <w:tab w:val="left" w:pos="1080"/>
              </w:tabs>
              <w:rPr>
                <w:rFonts w:ascii="Arial" w:hAnsi="Arial" w:cs="Arial"/>
              </w:rPr>
            </w:pPr>
            <w:proofErr w:type="spellStart"/>
            <w:r w:rsidRPr="00A4320B">
              <w:rPr>
                <w:rFonts w:ascii="Arial" w:hAnsi="Arial" w:cs="Arial"/>
              </w:rPr>
              <w:t>Atezolizumab</w:t>
            </w:r>
            <w:proofErr w:type="spellEnd"/>
            <w:r w:rsidRPr="00A4320B">
              <w:rPr>
                <w:rFonts w:ascii="Arial" w:hAnsi="Arial" w:cs="Arial"/>
              </w:rPr>
              <w:t xml:space="preserve"> for untreated PD-L1-positive locally advanced or metastatic urothelial cancer when cisplatin is unsuitable</w:t>
            </w:r>
          </w:p>
        </w:tc>
        <w:tc>
          <w:tcPr>
            <w:tcW w:w="1479" w:type="dxa"/>
          </w:tcPr>
          <w:p w:rsidR="000574C4" w:rsidRPr="00A4320B" w:rsidRDefault="000574C4" w:rsidP="00A4320B">
            <w:pPr>
              <w:jc w:val="center"/>
              <w:rPr>
                <w:rFonts w:ascii="Arial" w:hAnsi="Arial" w:cs="Arial"/>
              </w:rPr>
            </w:pPr>
            <w:r w:rsidRPr="00A4320B">
              <w:rPr>
                <w:rFonts w:ascii="Arial" w:hAnsi="Arial" w:cs="Arial"/>
              </w:rPr>
              <w:t>RED</w:t>
            </w:r>
          </w:p>
        </w:tc>
      </w:tr>
      <w:tr w:rsidR="000574C4" w:rsidRPr="00A4320B" w:rsidTr="00A91CE4">
        <w:tc>
          <w:tcPr>
            <w:tcW w:w="1843" w:type="dxa"/>
          </w:tcPr>
          <w:p w:rsidR="000574C4" w:rsidRPr="00A4320B" w:rsidRDefault="000574C4" w:rsidP="00A4320B">
            <w:pPr>
              <w:pStyle w:val="ListParagraph"/>
              <w:tabs>
                <w:tab w:val="left" w:pos="1080"/>
              </w:tabs>
              <w:ind w:left="0"/>
              <w:jc w:val="center"/>
              <w:rPr>
                <w:rFonts w:ascii="Arial" w:hAnsi="Arial" w:cs="Arial"/>
              </w:rPr>
            </w:pPr>
            <w:r w:rsidRPr="00A4320B">
              <w:rPr>
                <w:rFonts w:ascii="Arial" w:hAnsi="Arial" w:cs="Arial"/>
              </w:rPr>
              <w:t>NICE TA493</w:t>
            </w:r>
          </w:p>
        </w:tc>
        <w:tc>
          <w:tcPr>
            <w:tcW w:w="5954" w:type="dxa"/>
          </w:tcPr>
          <w:p w:rsidR="000574C4" w:rsidRPr="00A4320B" w:rsidRDefault="000574C4" w:rsidP="004A2AEB">
            <w:pPr>
              <w:tabs>
                <w:tab w:val="left" w:pos="1080"/>
              </w:tabs>
              <w:rPr>
                <w:rFonts w:ascii="Arial" w:hAnsi="Arial" w:cs="Arial"/>
              </w:rPr>
            </w:pPr>
            <w:proofErr w:type="spellStart"/>
            <w:r w:rsidRPr="00A4320B">
              <w:rPr>
                <w:rFonts w:ascii="Arial" w:hAnsi="Arial" w:cs="Arial"/>
              </w:rPr>
              <w:t>Pembrolizumab</w:t>
            </w:r>
            <w:proofErr w:type="spellEnd"/>
            <w:r w:rsidRPr="00A4320B">
              <w:rPr>
                <w:rFonts w:ascii="Arial" w:hAnsi="Arial" w:cs="Arial"/>
              </w:rPr>
              <w:t xml:space="preserve"> for untreated PD-L1-positive locally advanced or metastatic urothelial cancer when cisplatin is unsuitable</w:t>
            </w:r>
          </w:p>
        </w:tc>
        <w:tc>
          <w:tcPr>
            <w:tcW w:w="1479" w:type="dxa"/>
          </w:tcPr>
          <w:p w:rsidR="000574C4" w:rsidRPr="00A4320B" w:rsidRDefault="000574C4" w:rsidP="00A4320B">
            <w:pPr>
              <w:jc w:val="center"/>
              <w:rPr>
                <w:rFonts w:ascii="Arial" w:hAnsi="Arial" w:cs="Arial"/>
              </w:rPr>
            </w:pPr>
            <w:r w:rsidRPr="00A4320B">
              <w:rPr>
                <w:rFonts w:ascii="Arial" w:hAnsi="Arial" w:cs="Arial"/>
              </w:rPr>
              <w:t>RED</w:t>
            </w:r>
          </w:p>
        </w:tc>
      </w:tr>
      <w:tr w:rsidR="000574C4" w:rsidRPr="00A4320B" w:rsidTr="00A91CE4">
        <w:tc>
          <w:tcPr>
            <w:tcW w:w="1843" w:type="dxa"/>
          </w:tcPr>
          <w:p w:rsidR="000574C4" w:rsidRPr="00A4320B" w:rsidRDefault="000574C4" w:rsidP="00A4320B">
            <w:pPr>
              <w:pStyle w:val="ListParagraph"/>
              <w:tabs>
                <w:tab w:val="left" w:pos="1080"/>
              </w:tabs>
              <w:ind w:left="0"/>
              <w:jc w:val="center"/>
              <w:rPr>
                <w:rFonts w:ascii="Arial" w:hAnsi="Arial" w:cs="Arial"/>
              </w:rPr>
            </w:pPr>
            <w:r w:rsidRPr="00A4320B">
              <w:rPr>
                <w:rFonts w:ascii="Arial" w:hAnsi="Arial" w:cs="Arial"/>
              </w:rPr>
              <w:t>NICE TA534</w:t>
            </w:r>
          </w:p>
        </w:tc>
        <w:tc>
          <w:tcPr>
            <w:tcW w:w="5954" w:type="dxa"/>
          </w:tcPr>
          <w:p w:rsidR="000574C4" w:rsidRPr="00A4320B" w:rsidRDefault="000574C4" w:rsidP="004A2AEB">
            <w:pPr>
              <w:tabs>
                <w:tab w:val="left" w:pos="1080"/>
              </w:tabs>
              <w:rPr>
                <w:rFonts w:ascii="Arial" w:hAnsi="Arial" w:cs="Arial"/>
              </w:rPr>
            </w:pPr>
            <w:proofErr w:type="spellStart"/>
            <w:r w:rsidRPr="00A4320B">
              <w:rPr>
                <w:rFonts w:ascii="Arial" w:hAnsi="Arial" w:cs="Arial"/>
              </w:rPr>
              <w:t>Dupilumab</w:t>
            </w:r>
            <w:proofErr w:type="spellEnd"/>
            <w:r w:rsidRPr="00A4320B">
              <w:rPr>
                <w:rFonts w:ascii="Arial" w:hAnsi="Arial" w:cs="Arial"/>
              </w:rPr>
              <w:t xml:space="preserve"> for treating moderate to severe atopic dermatitis </w:t>
            </w:r>
          </w:p>
        </w:tc>
        <w:tc>
          <w:tcPr>
            <w:tcW w:w="1479" w:type="dxa"/>
          </w:tcPr>
          <w:p w:rsidR="000574C4" w:rsidRPr="00A4320B" w:rsidRDefault="000574C4" w:rsidP="00A4320B">
            <w:pPr>
              <w:jc w:val="center"/>
              <w:rPr>
                <w:rFonts w:ascii="Arial" w:hAnsi="Arial" w:cs="Arial"/>
              </w:rPr>
            </w:pPr>
            <w:r w:rsidRPr="00A4320B">
              <w:rPr>
                <w:rFonts w:ascii="Arial" w:hAnsi="Arial" w:cs="Arial"/>
              </w:rPr>
              <w:t>RED</w:t>
            </w:r>
          </w:p>
        </w:tc>
      </w:tr>
    </w:tbl>
    <w:p w:rsidR="00C707A8" w:rsidRPr="00A4320B" w:rsidRDefault="00C707A8" w:rsidP="00C707A8">
      <w:pPr>
        <w:tabs>
          <w:tab w:val="left" w:pos="1080"/>
        </w:tabs>
        <w:rPr>
          <w:rFonts w:ascii="Arial" w:hAnsi="Arial" w:cs="Arial"/>
          <w:sz w:val="24"/>
          <w:szCs w:val="24"/>
          <w:u w:val="single"/>
        </w:rPr>
      </w:pPr>
    </w:p>
    <w:p w:rsidR="00A4320B" w:rsidRDefault="00A4320B" w:rsidP="00A4320B">
      <w:pPr>
        <w:tabs>
          <w:tab w:val="left" w:pos="1080"/>
        </w:tabs>
        <w:jc w:val="center"/>
        <w:rPr>
          <w:rFonts w:ascii="Arial" w:hAnsi="Arial" w:cs="Arial"/>
          <w:b/>
          <w:sz w:val="40"/>
          <w:szCs w:val="40"/>
          <w:u w:val="single"/>
        </w:rPr>
      </w:pPr>
    </w:p>
    <w:p w:rsidR="00744D1F" w:rsidRPr="00A4320B" w:rsidRDefault="001060DD" w:rsidP="00A4320B">
      <w:pPr>
        <w:tabs>
          <w:tab w:val="left" w:pos="1080"/>
        </w:tabs>
        <w:jc w:val="center"/>
        <w:rPr>
          <w:rFonts w:ascii="Arial" w:hAnsi="Arial" w:cs="Arial"/>
          <w:b/>
          <w:sz w:val="40"/>
          <w:szCs w:val="40"/>
          <w:u w:val="single"/>
        </w:rPr>
      </w:pPr>
      <w:r w:rsidRPr="00A4320B">
        <w:rPr>
          <w:rFonts w:ascii="Arial" w:hAnsi="Arial" w:cs="Arial"/>
          <w:b/>
          <w:sz w:val="40"/>
          <w:szCs w:val="40"/>
          <w:u w:val="single"/>
        </w:rPr>
        <w:lastRenderedPageBreak/>
        <w:t xml:space="preserve">3) </w:t>
      </w:r>
      <w:r w:rsidR="00744D1F" w:rsidRPr="00A4320B">
        <w:rPr>
          <w:rFonts w:ascii="Arial" w:hAnsi="Arial" w:cs="Arial"/>
          <w:b/>
          <w:sz w:val="40"/>
          <w:szCs w:val="40"/>
          <w:u w:val="single"/>
        </w:rPr>
        <w:t>Items Approved at APC</w:t>
      </w:r>
    </w:p>
    <w:p w:rsidR="000574C4" w:rsidRPr="00A4320B" w:rsidRDefault="000574C4" w:rsidP="000574C4">
      <w:pPr>
        <w:pStyle w:val="NoSpacing"/>
        <w:suppressAutoHyphens w:val="0"/>
        <w:spacing w:line="240" w:lineRule="auto"/>
        <w:rPr>
          <w:rFonts w:ascii="Arial" w:hAnsi="Arial" w:cs="Arial"/>
        </w:rPr>
      </w:pPr>
    </w:p>
    <w:p w:rsidR="000574C4" w:rsidRPr="00A4320B" w:rsidRDefault="000574C4" w:rsidP="000574C4">
      <w:pPr>
        <w:rPr>
          <w:rFonts w:ascii="Arial" w:hAnsi="Arial" w:cs="Arial"/>
        </w:rPr>
      </w:pPr>
      <w:r w:rsidRPr="00A4320B">
        <w:rPr>
          <w:rFonts w:ascii="Arial" w:hAnsi="Arial" w:cs="Arial"/>
          <w:u w:val="single"/>
        </w:rPr>
        <w:t xml:space="preserve">Rheumatology Shared Care Guidelines </w:t>
      </w:r>
      <w:r w:rsidRPr="00A4320B">
        <w:rPr>
          <w:rFonts w:ascii="Arial" w:hAnsi="Arial" w:cs="Arial"/>
          <w:u w:val="single"/>
        </w:rPr>
        <w:br/>
      </w:r>
      <w:r w:rsidRPr="00A4320B">
        <w:rPr>
          <w:rFonts w:ascii="Arial" w:hAnsi="Arial" w:cs="Arial"/>
        </w:rPr>
        <w:t>The following shared care guidelines were approved:</w:t>
      </w:r>
    </w:p>
    <w:p w:rsidR="000574C4" w:rsidRPr="00A4320B" w:rsidRDefault="000574C4" w:rsidP="000574C4">
      <w:pPr>
        <w:pStyle w:val="ListParagraph"/>
        <w:numPr>
          <w:ilvl w:val="0"/>
          <w:numId w:val="5"/>
        </w:numPr>
        <w:rPr>
          <w:rFonts w:ascii="Arial" w:hAnsi="Arial" w:cs="Arial"/>
        </w:rPr>
      </w:pPr>
      <w:r w:rsidRPr="00A4320B">
        <w:rPr>
          <w:rFonts w:ascii="Arial" w:hAnsi="Arial" w:cs="Arial"/>
        </w:rPr>
        <w:t>Prescribing Framework for Azathioprine in Rheumatic Diseases</w:t>
      </w:r>
    </w:p>
    <w:p w:rsidR="000574C4" w:rsidRPr="00A4320B" w:rsidRDefault="000574C4" w:rsidP="000574C4">
      <w:pPr>
        <w:pStyle w:val="ListParagraph"/>
        <w:numPr>
          <w:ilvl w:val="0"/>
          <w:numId w:val="5"/>
        </w:numPr>
        <w:rPr>
          <w:rFonts w:ascii="Arial" w:hAnsi="Arial" w:cs="Arial"/>
        </w:rPr>
      </w:pPr>
      <w:r w:rsidRPr="00A4320B">
        <w:rPr>
          <w:rFonts w:ascii="Arial" w:hAnsi="Arial" w:cs="Arial"/>
        </w:rPr>
        <w:t xml:space="preserve">Prescribing Framework for Injectable Gold (Sodium </w:t>
      </w:r>
      <w:proofErr w:type="spellStart"/>
      <w:r w:rsidRPr="00A4320B">
        <w:rPr>
          <w:rFonts w:ascii="Arial" w:hAnsi="Arial" w:cs="Arial"/>
        </w:rPr>
        <w:t>Aurothiomalate</w:t>
      </w:r>
      <w:proofErr w:type="spellEnd"/>
      <w:r w:rsidRPr="00A4320B">
        <w:rPr>
          <w:rFonts w:ascii="Arial" w:hAnsi="Arial" w:cs="Arial"/>
        </w:rPr>
        <w:t xml:space="preserve">) in Rheumatic Disease </w:t>
      </w:r>
    </w:p>
    <w:p w:rsidR="000574C4" w:rsidRPr="00A4320B" w:rsidRDefault="000574C4" w:rsidP="000574C4">
      <w:pPr>
        <w:pStyle w:val="ListParagraph"/>
        <w:numPr>
          <w:ilvl w:val="0"/>
          <w:numId w:val="5"/>
        </w:numPr>
        <w:rPr>
          <w:rFonts w:ascii="Arial" w:hAnsi="Arial" w:cs="Arial"/>
        </w:rPr>
      </w:pPr>
      <w:r w:rsidRPr="00A4320B">
        <w:rPr>
          <w:rFonts w:ascii="Arial" w:hAnsi="Arial" w:cs="Arial"/>
        </w:rPr>
        <w:t xml:space="preserve">Prescribing Framework for Hydroxychloroquine in Rheumatic Disease </w:t>
      </w:r>
    </w:p>
    <w:p w:rsidR="000574C4" w:rsidRPr="00A4320B" w:rsidRDefault="000574C4" w:rsidP="000574C4">
      <w:pPr>
        <w:pStyle w:val="ListParagraph"/>
        <w:numPr>
          <w:ilvl w:val="0"/>
          <w:numId w:val="5"/>
        </w:numPr>
        <w:rPr>
          <w:rFonts w:ascii="Arial" w:hAnsi="Arial" w:cs="Arial"/>
        </w:rPr>
      </w:pPr>
      <w:r w:rsidRPr="00A4320B">
        <w:rPr>
          <w:rFonts w:ascii="Arial" w:hAnsi="Arial" w:cs="Arial"/>
        </w:rPr>
        <w:t xml:space="preserve">Prescribing Framework for Sulfasalazine in Rheumatic Disease </w:t>
      </w:r>
    </w:p>
    <w:p w:rsidR="000574C4" w:rsidRPr="00A4320B" w:rsidRDefault="000574C4" w:rsidP="000574C4">
      <w:pPr>
        <w:pStyle w:val="ListParagraph"/>
        <w:numPr>
          <w:ilvl w:val="0"/>
          <w:numId w:val="5"/>
        </w:numPr>
        <w:rPr>
          <w:rFonts w:ascii="Arial" w:hAnsi="Arial" w:cs="Arial"/>
        </w:rPr>
      </w:pPr>
      <w:r w:rsidRPr="00A4320B">
        <w:rPr>
          <w:rFonts w:ascii="Arial" w:hAnsi="Arial" w:cs="Arial"/>
        </w:rPr>
        <w:t xml:space="preserve">Prescribing Framework For </w:t>
      </w:r>
      <w:proofErr w:type="spellStart"/>
      <w:r w:rsidRPr="00A4320B">
        <w:rPr>
          <w:rFonts w:ascii="Arial" w:hAnsi="Arial" w:cs="Arial"/>
        </w:rPr>
        <w:t>Leflunomide</w:t>
      </w:r>
      <w:proofErr w:type="spellEnd"/>
      <w:r w:rsidRPr="00A4320B">
        <w:rPr>
          <w:rFonts w:ascii="Arial" w:hAnsi="Arial" w:cs="Arial"/>
        </w:rPr>
        <w:t xml:space="preserve"> in Rheumatic Disease </w:t>
      </w:r>
    </w:p>
    <w:p w:rsidR="000C23DB" w:rsidRDefault="000574C4" w:rsidP="00624E2E">
      <w:pPr>
        <w:rPr>
          <w:rFonts w:ascii="Arial" w:hAnsi="Arial" w:cs="Arial"/>
        </w:rPr>
      </w:pPr>
      <w:r w:rsidRPr="00A4320B">
        <w:rPr>
          <w:rFonts w:ascii="Arial" w:hAnsi="Arial" w:cs="Arial"/>
        </w:rPr>
        <w:t xml:space="preserve">In practical terms the shared care guidelines will be initially published on the Northern Lincolnshire and Goole trust intranet.  Ensuring correct blood test forms are in place and ready to use prior to going live.  </w:t>
      </w:r>
    </w:p>
    <w:p w:rsidR="0071274A" w:rsidRPr="00624E2E" w:rsidRDefault="0071274A" w:rsidP="00624E2E">
      <w:pPr>
        <w:rPr>
          <w:rFonts w:ascii="Arial" w:hAnsi="Arial" w:cs="Arial"/>
        </w:rPr>
      </w:pPr>
    </w:p>
    <w:p w:rsidR="00744D1F" w:rsidRPr="00A4320B" w:rsidRDefault="001060DD" w:rsidP="00A4320B">
      <w:pPr>
        <w:tabs>
          <w:tab w:val="left" w:pos="1080"/>
        </w:tabs>
        <w:jc w:val="center"/>
        <w:rPr>
          <w:rFonts w:ascii="Arial" w:hAnsi="Arial" w:cs="Arial"/>
          <w:b/>
          <w:sz w:val="40"/>
          <w:szCs w:val="40"/>
          <w:u w:val="single"/>
        </w:rPr>
      </w:pPr>
      <w:r w:rsidRPr="00A4320B">
        <w:rPr>
          <w:rFonts w:ascii="Arial" w:hAnsi="Arial" w:cs="Arial"/>
          <w:b/>
          <w:sz w:val="40"/>
          <w:szCs w:val="40"/>
          <w:u w:val="single"/>
        </w:rPr>
        <w:t>4)</w:t>
      </w:r>
      <w:r w:rsidR="00A4320B">
        <w:rPr>
          <w:rFonts w:ascii="Arial" w:hAnsi="Arial" w:cs="Arial"/>
          <w:b/>
          <w:sz w:val="40"/>
          <w:szCs w:val="40"/>
          <w:u w:val="single"/>
        </w:rPr>
        <w:t xml:space="preserve"> </w:t>
      </w:r>
      <w:r w:rsidR="00744D1F" w:rsidRPr="00A4320B">
        <w:rPr>
          <w:rFonts w:ascii="Arial" w:hAnsi="Arial" w:cs="Arial"/>
          <w:b/>
          <w:sz w:val="40"/>
          <w:szCs w:val="40"/>
          <w:u w:val="single"/>
        </w:rPr>
        <w:t>MHRA Alerts</w:t>
      </w:r>
    </w:p>
    <w:p w:rsidR="00624E2E" w:rsidRDefault="007C67E6" w:rsidP="007C67E6">
      <w:pPr>
        <w:tabs>
          <w:tab w:val="left" w:pos="1080"/>
        </w:tabs>
        <w:rPr>
          <w:rFonts w:ascii="Arial" w:hAnsi="Arial" w:cs="Arial"/>
        </w:rPr>
      </w:pPr>
      <w:r w:rsidRPr="007C67E6">
        <w:rPr>
          <w:rFonts w:ascii="Arial" w:hAnsi="Arial" w:cs="Arial"/>
        </w:rPr>
        <w:t xml:space="preserve">The latest </w:t>
      </w:r>
      <w:r>
        <w:rPr>
          <w:rFonts w:ascii="Arial" w:hAnsi="Arial" w:cs="Arial"/>
        </w:rPr>
        <w:t>MHRA Alerts are published here:</w:t>
      </w:r>
      <w:r w:rsidR="00D64274">
        <w:rPr>
          <w:rFonts w:ascii="Arial" w:hAnsi="Arial" w:cs="Arial"/>
        </w:rPr>
        <w:t xml:space="preserve">  </w:t>
      </w:r>
      <w:hyperlink r:id="rId9" w:history="1">
        <w:r w:rsidRPr="00C71EF7">
          <w:rPr>
            <w:rStyle w:val="Hyperlink"/>
            <w:rFonts w:ascii="Arial" w:hAnsi="Arial" w:cs="Arial"/>
          </w:rPr>
          <w:t>www.gov.uk/government/publications/drug-safety-update-monthly-newsletter</w:t>
        </w:r>
      </w:hyperlink>
    </w:p>
    <w:p w:rsidR="000C23DB" w:rsidRDefault="000C23DB" w:rsidP="007C67E6">
      <w:pPr>
        <w:tabs>
          <w:tab w:val="left" w:pos="1080"/>
        </w:tabs>
        <w:rPr>
          <w:rFonts w:ascii="Arial" w:hAnsi="Arial" w:cs="Arial"/>
        </w:rPr>
      </w:pPr>
    </w:p>
    <w:p w:rsidR="0071274A" w:rsidRPr="000C23DB" w:rsidRDefault="0071274A" w:rsidP="007C67E6">
      <w:pPr>
        <w:tabs>
          <w:tab w:val="left" w:pos="1080"/>
        </w:tabs>
        <w:rPr>
          <w:rFonts w:ascii="Arial" w:hAnsi="Arial" w:cs="Arial"/>
        </w:rPr>
      </w:pPr>
    </w:p>
    <w:p w:rsidR="00A4320B" w:rsidRDefault="0064499B" w:rsidP="00A4320B">
      <w:pPr>
        <w:tabs>
          <w:tab w:val="left" w:pos="1080"/>
        </w:tabs>
        <w:jc w:val="center"/>
        <w:rPr>
          <w:rFonts w:ascii="Arial" w:hAnsi="Arial" w:cs="Arial"/>
          <w:b/>
          <w:sz w:val="36"/>
          <w:szCs w:val="36"/>
          <w:u w:val="single"/>
        </w:rPr>
      </w:pPr>
      <w:r w:rsidRPr="00A4320B">
        <w:rPr>
          <w:rFonts w:ascii="Arial" w:hAnsi="Arial" w:cs="Arial"/>
          <w:b/>
          <w:sz w:val="36"/>
          <w:szCs w:val="36"/>
          <w:u w:val="single"/>
        </w:rPr>
        <w:t xml:space="preserve">5) </w:t>
      </w:r>
      <w:r w:rsidR="00CB3D5C" w:rsidRPr="00A4320B">
        <w:rPr>
          <w:rFonts w:ascii="Arial" w:hAnsi="Arial" w:cs="Arial"/>
          <w:b/>
          <w:sz w:val="36"/>
          <w:szCs w:val="36"/>
          <w:u w:val="single"/>
        </w:rPr>
        <w:t>Net Formulary update</w:t>
      </w:r>
    </w:p>
    <w:p w:rsidR="005E3849" w:rsidRDefault="0064499B">
      <w:pPr>
        <w:tabs>
          <w:tab w:val="left" w:pos="1080"/>
        </w:tabs>
        <w:rPr>
          <w:rFonts w:ascii="Arial" w:hAnsi="Arial" w:cs="Arial"/>
        </w:rPr>
      </w:pPr>
      <w:r w:rsidRPr="00A4320B">
        <w:rPr>
          <w:rFonts w:ascii="Arial" w:hAnsi="Arial" w:cs="Arial"/>
          <w:b/>
          <w:sz w:val="24"/>
          <w:szCs w:val="24"/>
          <w:u w:val="single"/>
        </w:rPr>
        <w:br/>
      </w:r>
      <w:r w:rsidR="00CB3D5C" w:rsidRPr="005E3849">
        <w:rPr>
          <w:rFonts w:ascii="Arial" w:hAnsi="Arial" w:cs="Arial"/>
        </w:rPr>
        <w:t>We</w:t>
      </w:r>
      <w:r w:rsidR="000C695F" w:rsidRPr="005E3849">
        <w:rPr>
          <w:rFonts w:ascii="Arial" w:hAnsi="Arial" w:cs="Arial"/>
        </w:rPr>
        <w:t xml:space="preserve"> are continuing</w:t>
      </w:r>
      <w:r w:rsidR="005E3849" w:rsidRPr="005E3849">
        <w:rPr>
          <w:rFonts w:ascii="Arial" w:hAnsi="Arial" w:cs="Arial"/>
        </w:rPr>
        <w:t xml:space="preserve"> to update our F</w:t>
      </w:r>
      <w:r w:rsidR="00CB3D5C" w:rsidRPr="005E3849">
        <w:rPr>
          <w:rFonts w:ascii="Arial" w:hAnsi="Arial" w:cs="Arial"/>
        </w:rPr>
        <w:t>ormulary available at:</w:t>
      </w:r>
      <w:r w:rsidR="005E3849">
        <w:rPr>
          <w:rFonts w:ascii="Arial" w:hAnsi="Arial" w:cs="Arial"/>
        </w:rPr>
        <w:t xml:space="preserve"> </w:t>
      </w:r>
      <w:hyperlink r:id="rId10" w:history="1">
        <w:r w:rsidR="005E3849" w:rsidRPr="005E3849">
          <w:rPr>
            <w:rStyle w:val="Hyperlink"/>
            <w:rFonts w:ascii="Arial" w:hAnsi="Arial" w:cs="Arial"/>
          </w:rPr>
          <w:t>www.apcnlgformulary.nhs.uk</w:t>
        </w:r>
      </w:hyperlink>
    </w:p>
    <w:p w:rsidR="00FE5829" w:rsidRPr="00FE5829" w:rsidRDefault="00816E30" w:rsidP="000C23DB">
      <w:pPr>
        <w:tabs>
          <w:tab w:val="left" w:pos="1080"/>
        </w:tabs>
        <w:rPr>
          <w:rFonts w:ascii="Arial" w:hAnsi="Arial" w:cs="Arial"/>
        </w:rPr>
      </w:pPr>
      <w:r w:rsidRPr="005E3849">
        <w:rPr>
          <w:rFonts w:ascii="Arial" w:hAnsi="Arial" w:cs="Arial"/>
          <w:b/>
          <w:u w:val="single"/>
        </w:rPr>
        <w:br/>
      </w:r>
      <w:r w:rsidR="00744D1F" w:rsidRPr="005E3849">
        <w:rPr>
          <w:rFonts w:ascii="Arial" w:hAnsi="Arial" w:cs="Arial"/>
        </w:rPr>
        <w:t xml:space="preserve">Net Formulary </w:t>
      </w:r>
      <w:r w:rsidR="00CB3D5C" w:rsidRPr="005E3849">
        <w:rPr>
          <w:rFonts w:ascii="Arial" w:hAnsi="Arial" w:cs="Arial"/>
        </w:rPr>
        <w:t>holds information about drug</w:t>
      </w:r>
      <w:r w:rsidR="00744D1F" w:rsidRPr="005E3849">
        <w:rPr>
          <w:rFonts w:ascii="Arial" w:hAnsi="Arial" w:cs="Arial"/>
        </w:rPr>
        <w:t>s and their formulary status.  It also</w:t>
      </w:r>
      <w:r w:rsidR="00CB3D5C" w:rsidRPr="005E3849">
        <w:rPr>
          <w:rFonts w:ascii="Arial" w:hAnsi="Arial" w:cs="Arial"/>
        </w:rPr>
        <w:t xml:space="preserve"> includes traffic light status of medications so that prescriber responsibilities are clear. Pathways, NICE and APC policies will be linked to this as well as APC minutes and policies. This is an active document which is being continually updated.  Please feel free to provide feedback or comments to the Area Prescribing Professional secretary Aliya Turk at </w:t>
      </w:r>
      <w:hyperlink r:id="rId11" w:history="1">
        <w:r w:rsidR="00540DFD" w:rsidRPr="005E3849">
          <w:rPr>
            <w:rStyle w:val="Hyperlink"/>
            <w:rFonts w:ascii="Arial" w:hAnsi="Arial" w:cs="Arial"/>
          </w:rPr>
          <w:t>aliya.turk@nhs.net</w:t>
        </w:r>
      </w:hyperlink>
      <w:r w:rsidR="00540DFD" w:rsidRPr="005E3849">
        <w:rPr>
          <w:rFonts w:ascii="Arial" w:hAnsi="Arial" w:cs="Arial"/>
        </w:rPr>
        <w:t xml:space="preserve"> </w:t>
      </w:r>
    </w:p>
    <w:p w:rsidR="00FE5829" w:rsidRPr="00FE5829" w:rsidRDefault="00FE5829" w:rsidP="00FE5829">
      <w:pPr>
        <w:rPr>
          <w:rFonts w:ascii="Arial" w:hAnsi="Arial" w:cs="Arial"/>
        </w:rPr>
      </w:pPr>
    </w:p>
    <w:p w:rsidR="00FE5829" w:rsidRPr="00FE5829" w:rsidRDefault="00FE5829" w:rsidP="00FE5829">
      <w:pPr>
        <w:rPr>
          <w:rFonts w:ascii="Arial" w:hAnsi="Arial" w:cs="Arial"/>
        </w:rPr>
      </w:pPr>
    </w:p>
    <w:p w:rsidR="00A4320B" w:rsidRPr="00FE5829" w:rsidRDefault="00A4320B" w:rsidP="00FE5829">
      <w:pPr>
        <w:tabs>
          <w:tab w:val="left" w:pos="2805"/>
        </w:tabs>
        <w:rPr>
          <w:rFonts w:ascii="Arial" w:hAnsi="Arial" w:cs="Arial"/>
        </w:rPr>
      </w:pPr>
    </w:p>
    <w:sectPr w:rsidR="00A4320B" w:rsidRPr="00FE582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EA" w:rsidRDefault="002741EA" w:rsidP="00832492">
      <w:pPr>
        <w:spacing w:after="0" w:line="240" w:lineRule="auto"/>
      </w:pPr>
      <w:r>
        <w:separator/>
      </w:r>
    </w:p>
  </w:endnote>
  <w:endnote w:type="continuationSeparator" w:id="0">
    <w:p w:rsidR="002741EA" w:rsidRDefault="002741EA" w:rsidP="0083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49" w:rsidRDefault="00A4320B" w:rsidP="005E3849">
    <w:pPr>
      <w:pStyle w:val="Footer"/>
      <w:jc w:val="center"/>
    </w:pPr>
    <w:r>
      <w:t>Northern Lincolnshire Area Prescribing Committee</w:t>
    </w:r>
  </w:p>
  <w:p w:rsidR="00A4320B" w:rsidRDefault="00867E3F" w:rsidP="005E3849">
    <w:pPr>
      <w:pStyle w:val="Footer"/>
      <w:jc w:val="center"/>
    </w:pPr>
    <w:hyperlink r:id="rId1" w:history="1">
      <w:r w:rsidR="005E3849" w:rsidRPr="008239C5">
        <w:rPr>
          <w:rStyle w:val="Hyperlink"/>
        </w:rPr>
        <w:t>www.northernlincolnshireapc.nhs.uk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EA" w:rsidRDefault="002741EA" w:rsidP="00832492">
      <w:pPr>
        <w:spacing w:after="0" w:line="240" w:lineRule="auto"/>
      </w:pPr>
      <w:r>
        <w:separator/>
      </w:r>
    </w:p>
  </w:footnote>
  <w:footnote w:type="continuationSeparator" w:id="0">
    <w:p w:rsidR="002741EA" w:rsidRDefault="002741EA" w:rsidP="00832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492" w:rsidRDefault="00A4320B" w:rsidP="00A4320B">
    <w:pPr>
      <w:pStyle w:val="Header"/>
      <w:jc w:val="center"/>
    </w:pPr>
    <w:r>
      <w:rPr>
        <w:noProof/>
        <w:lang w:eastAsia="en-GB"/>
      </w:rPr>
      <w:drawing>
        <wp:inline distT="0" distB="0" distL="0" distR="0" wp14:anchorId="5D4215F6" wp14:editId="4B5155F5">
          <wp:extent cx="5600700" cy="79961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258" cy="803267"/>
                  </a:xfrm>
                  <a:prstGeom prst="rect">
                    <a:avLst/>
                  </a:prstGeom>
                  <a:noFill/>
                  <a:ln>
                    <a:noFill/>
                  </a:ln>
                </pic:spPr>
              </pic:pic>
            </a:graphicData>
          </a:graphic>
        </wp:inline>
      </w:drawing>
    </w:r>
  </w:p>
  <w:p w:rsidR="00A4320B" w:rsidRDefault="00A4320B">
    <w:pPr>
      <w:pStyle w:val="Header"/>
      <w:rPr>
        <w:rFonts w:ascii="Arial" w:hAnsi="Arial" w:cs="Arial"/>
      </w:rPr>
    </w:pPr>
  </w:p>
  <w:p w:rsidR="00832492" w:rsidRDefault="0071274A">
    <w:pPr>
      <w:pStyle w:val="Header"/>
      <w:rPr>
        <w:rFonts w:ascii="Arial" w:hAnsi="Arial" w:cs="Arial"/>
      </w:rPr>
    </w:pPr>
    <w:r>
      <w:rPr>
        <w:rFonts w:ascii="Arial" w:hAnsi="Arial" w:cs="Arial"/>
      </w:rPr>
      <w:t>Autumn</w:t>
    </w:r>
    <w:r w:rsidR="00A4320B" w:rsidRPr="00A4320B">
      <w:rPr>
        <w:rFonts w:ascii="Arial" w:hAnsi="Arial" w:cs="Arial"/>
      </w:rPr>
      <w:t xml:space="preserve"> 2018</w:t>
    </w:r>
  </w:p>
  <w:p w:rsidR="00A4320B" w:rsidRPr="00A4320B" w:rsidRDefault="00A4320B">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33940"/>
    <w:multiLevelType w:val="hybridMultilevel"/>
    <w:tmpl w:val="4C782B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DB51106"/>
    <w:multiLevelType w:val="hybridMultilevel"/>
    <w:tmpl w:val="AF1EC66E"/>
    <w:lvl w:ilvl="0" w:tplc="1BB0B1B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470FE7"/>
    <w:multiLevelType w:val="hybridMultilevel"/>
    <w:tmpl w:val="685AC3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DD47B0"/>
    <w:multiLevelType w:val="hybridMultilevel"/>
    <w:tmpl w:val="4D18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6773E1"/>
    <w:multiLevelType w:val="hybridMultilevel"/>
    <w:tmpl w:val="812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590F9E"/>
    <w:multiLevelType w:val="hybridMultilevel"/>
    <w:tmpl w:val="CCC0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14"/>
    <w:rsid w:val="00041D25"/>
    <w:rsid w:val="000574C4"/>
    <w:rsid w:val="00074B42"/>
    <w:rsid w:val="000A30D2"/>
    <w:rsid w:val="000C23DB"/>
    <w:rsid w:val="000C695F"/>
    <w:rsid w:val="000E379B"/>
    <w:rsid w:val="001060DD"/>
    <w:rsid w:val="001459FF"/>
    <w:rsid w:val="00165711"/>
    <w:rsid w:val="00171853"/>
    <w:rsid w:val="0018231C"/>
    <w:rsid w:val="001D1C14"/>
    <w:rsid w:val="001F4191"/>
    <w:rsid w:val="002741EA"/>
    <w:rsid w:val="002832D7"/>
    <w:rsid w:val="002A21F4"/>
    <w:rsid w:val="002C1613"/>
    <w:rsid w:val="002C64EC"/>
    <w:rsid w:val="00315E0A"/>
    <w:rsid w:val="00352136"/>
    <w:rsid w:val="00367CD1"/>
    <w:rsid w:val="003A4D43"/>
    <w:rsid w:val="004173DD"/>
    <w:rsid w:val="004176DA"/>
    <w:rsid w:val="004A2AEB"/>
    <w:rsid w:val="00505638"/>
    <w:rsid w:val="00514617"/>
    <w:rsid w:val="00540DFD"/>
    <w:rsid w:val="005C6D25"/>
    <w:rsid w:val="005E3849"/>
    <w:rsid w:val="00602FD6"/>
    <w:rsid w:val="00624E2E"/>
    <w:rsid w:val="0064499B"/>
    <w:rsid w:val="00686653"/>
    <w:rsid w:val="006B5FB1"/>
    <w:rsid w:val="006E41EF"/>
    <w:rsid w:val="0071274A"/>
    <w:rsid w:val="00712A59"/>
    <w:rsid w:val="00744D1F"/>
    <w:rsid w:val="00761DFD"/>
    <w:rsid w:val="00762DB6"/>
    <w:rsid w:val="00792E69"/>
    <w:rsid w:val="007A121D"/>
    <w:rsid w:val="007C3C96"/>
    <w:rsid w:val="007C67E6"/>
    <w:rsid w:val="007D3C87"/>
    <w:rsid w:val="00816E30"/>
    <w:rsid w:val="00832492"/>
    <w:rsid w:val="00842F72"/>
    <w:rsid w:val="00845F5A"/>
    <w:rsid w:val="00867E3F"/>
    <w:rsid w:val="0089173F"/>
    <w:rsid w:val="008C6C96"/>
    <w:rsid w:val="008D6DBB"/>
    <w:rsid w:val="00904BDA"/>
    <w:rsid w:val="009255C2"/>
    <w:rsid w:val="00967B8E"/>
    <w:rsid w:val="00985768"/>
    <w:rsid w:val="009A56D9"/>
    <w:rsid w:val="00A03836"/>
    <w:rsid w:val="00A1060A"/>
    <w:rsid w:val="00A4320B"/>
    <w:rsid w:val="00A51211"/>
    <w:rsid w:val="00A91CE4"/>
    <w:rsid w:val="00AD0851"/>
    <w:rsid w:val="00AE3FAF"/>
    <w:rsid w:val="00B92B93"/>
    <w:rsid w:val="00B967A5"/>
    <w:rsid w:val="00C01AAF"/>
    <w:rsid w:val="00C707A8"/>
    <w:rsid w:val="00CB3D5C"/>
    <w:rsid w:val="00CD3E71"/>
    <w:rsid w:val="00CD77E9"/>
    <w:rsid w:val="00D467E6"/>
    <w:rsid w:val="00D64274"/>
    <w:rsid w:val="00D812D9"/>
    <w:rsid w:val="00DA6090"/>
    <w:rsid w:val="00DD191D"/>
    <w:rsid w:val="00E7177D"/>
    <w:rsid w:val="00ED38F6"/>
    <w:rsid w:val="00EE1D1C"/>
    <w:rsid w:val="00F36426"/>
    <w:rsid w:val="00F876DB"/>
    <w:rsid w:val="00FC3CE0"/>
    <w:rsid w:val="00FE5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24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DFD"/>
    <w:rPr>
      <w:rFonts w:ascii="Tahoma" w:hAnsi="Tahoma" w:cs="Tahoma"/>
      <w:sz w:val="16"/>
      <w:szCs w:val="16"/>
    </w:rPr>
  </w:style>
  <w:style w:type="paragraph" w:styleId="ListParagraph">
    <w:name w:val="List Paragraph"/>
    <w:basedOn w:val="Normal"/>
    <w:uiPriority w:val="34"/>
    <w:qFormat/>
    <w:rsid w:val="00761DFD"/>
    <w:pPr>
      <w:ind w:left="720"/>
      <w:contextualSpacing/>
    </w:pPr>
  </w:style>
  <w:style w:type="character" w:customStyle="1" w:styleId="prod-title2">
    <w:name w:val="prod-title2"/>
    <w:basedOn w:val="DefaultParagraphFont"/>
    <w:rsid w:val="00761DFD"/>
  </w:style>
  <w:style w:type="character" w:styleId="Hyperlink">
    <w:name w:val="Hyperlink"/>
    <w:basedOn w:val="DefaultParagraphFont"/>
    <w:uiPriority w:val="99"/>
    <w:unhideWhenUsed/>
    <w:rsid w:val="00761DFD"/>
    <w:rPr>
      <w:color w:val="0000FF" w:themeColor="hyperlink"/>
      <w:u w:val="single"/>
    </w:rPr>
  </w:style>
  <w:style w:type="paragraph" w:styleId="NoSpacing">
    <w:name w:val="No Spacing"/>
    <w:uiPriority w:val="1"/>
    <w:qFormat/>
    <w:rsid w:val="008D6DBB"/>
    <w:pPr>
      <w:suppressAutoHyphens/>
      <w:spacing w:after="0" w:line="100" w:lineRule="atLeast"/>
    </w:pPr>
    <w:rPr>
      <w:rFonts w:ascii="Calibri" w:eastAsia="SimSun" w:hAnsi="Calibri" w:cs="Calibri"/>
      <w:kern w:val="1"/>
      <w:lang w:eastAsia="ar-SA"/>
    </w:rPr>
  </w:style>
  <w:style w:type="character" w:customStyle="1" w:styleId="redtextbold">
    <w:name w:val="redtextbold"/>
    <w:basedOn w:val="DefaultParagraphFont"/>
    <w:rsid w:val="008D6DBB"/>
  </w:style>
  <w:style w:type="table" w:styleId="TableGrid">
    <w:name w:val="Table Grid"/>
    <w:basedOn w:val="TableNormal"/>
    <w:uiPriority w:val="59"/>
    <w:rsid w:val="00AD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249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32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49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3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492"/>
  </w:style>
  <w:style w:type="paragraph" w:styleId="Footer">
    <w:name w:val="footer"/>
    <w:basedOn w:val="Normal"/>
    <w:link w:val="FooterChar"/>
    <w:uiPriority w:val="99"/>
    <w:unhideWhenUsed/>
    <w:rsid w:val="0083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492"/>
  </w:style>
  <w:style w:type="character" w:styleId="FollowedHyperlink">
    <w:name w:val="FollowedHyperlink"/>
    <w:basedOn w:val="DefaultParagraphFont"/>
    <w:uiPriority w:val="99"/>
    <w:semiHidden/>
    <w:unhideWhenUsed/>
    <w:rsid w:val="00C707A8"/>
    <w:rPr>
      <w:color w:val="800080" w:themeColor="followedHyperlink"/>
      <w:u w:val="single"/>
    </w:rPr>
  </w:style>
  <w:style w:type="paragraph" w:styleId="NormalWeb">
    <w:name w:val="Normal (Web)"/>
    <w:basedOn w:val="Normal"/>
    <w:uiPriority w:val="99"/>
    <w:unhideWhenUsed/>
    <w:rsid w:val="000574C4"/>
    <w:pPr>
      <w:spacing w:after="143" w:line="240" w:lineRule="auto"/>
    </w:pPr>
    <w:rPr>
      <w:rFonts w:ascii="Times New Roman" w:eastAsia="Times New Roman" w:hAnsi="Times New Roman" w:cs="Times New Roman"/>
      <w:sz w:val="24"/>
      <w:szCs w:val="24"/>
      <w:lang w:eastAsia="en-GB"/>
    </w:rPr>
  </w:style>
  <w:style w:type="paragraph" w:customStyle="1" w:styleId="Default">
    <w:name w:val="Default"/>
    <w:rsid w:val="00FE582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324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DFD"/>
    <w:rPr>
      <w:rFonts w:ascii="Tahoma" w:hAnsi="Tahoma" w:cs="Tahoma"/>
      <w:sz w:val="16"/>
      <w:szCs w:val="16"/>
    </w:rPr>
  </w:style>
  <w:style w:type="paragraph" w:styleId="ListParagraph">
    <w:name w:val="List Paragraph"/>
    <w:basedOn w:val="Normal"/>
    <w:uiPriority w:val="34"/>
    <w:qFormat/>
    <w:rsid w:val="00761DFD"/>
    <w:pPr>
      <w:ind w:left="720"/>
      <w:contextualSpacing/>
    </w:pPr>
  </w:style>
  <w:style w:type="character" w:customStyle="1" w:styleId="prod-title2">
    <w:name w:val="prod-title2"/>
    <w:basedOn w:val="DefaultParagraphFont"/>
    <w:rsid w:val="00761DFD"/>
  </w:style>
  <w:style w:type="character" w:styleId="Hyperlink">
    <w:name w:val="Hyperlink"/>
    <w:basedOn w:val="DefaultParagraphFont"/>
    <w:uiPriority w:val="99"/>
    <w:unhideWhenUsed/>
    <w:rsid w:val="00761DFD"/>
    <w:rPr>
      <w:color w:val="0000FF" w:themeColor="hyperlink"/>
      <w:u w:val="single"/>
    </w:rPr>
  </w:style>
  <w:style w:type="paragraph" w:styleId="NoSpacing">
    <w:name w:val="No Spacing"/>
    <w:uiPriority w:val="1"/>
    <w:qFormat/>
    <w:rsid w:val="008D6DBB"/>
    <w:pPr>
      <w:suppressAutoHyphens/>
      <w:spacing w:after="0" w:line="100" w:lineRule="atLeast"/>
    </w:pPr>
    <w:rPr>
      <w:rFonts w:ascii="Calibri" w:eastAsia="SimSun" w:hAnsi="Calibri" w:cs="Calibri"/>
      <w:kern w:val="1"/>
      <w:lang w:eastAsia="ar-SA"/>
    </w:rPr>
  </w:style>
  <w:style w:type="character" w:customStyle="1" w:styleId="redtextbold">
    <w:name w:val="redtextbold"/>
    <w:basedOn w:val="DefaultParagraphFont"/>
    <w:rsid w:val="008D6DBB"/>
  </w:style>
  <w:style w:type="table" w:styleId="TableGrid">
    <w:name w:val="Table Grid"/>
    <w:basedOn w:val="TableNormal"/>
    <w:uiPriority w:val="59"/>
    <w:rsid w:val="00AD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249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32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49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3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492"/>
  </w:style>
  <w:style w:type="paragraph" w:styleId="Footer">
    <w:name w:val="footer"/>
    <w:basedOn w:val="Normal"/>
    <w:link w:val="FooterChar"/>
    <w:uiPriority w:val="99"/>
    <w:unhideWhenUsed/>
    <w:rsid w:val="0083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492"/>
  </w:style>
  <w:style w:type="character" w:styleId="FollowedHyperlink">
    <w:name w:val="FollowedHyperlink"/>
    <w:basedOn w:val="DefaultParagraphFont"/>
    <w:uiPriority w:val="99"/>
    <w:semiHidden/>
    <w:unhideWhenUsed/>
    <w:rsid w:val="00C707A8"/>
    <w:rPr>
      <w:color w:val="800080" w:themeColor="followedHyperlink"/>
      <w:u w:val="single"/>
    </w:rPr>
  </w:style>
  <w:style w:type="paragraph" w:styleId="NormalWeb">
    <w:name w:val="Normal (Web)"/>
    <w:basedOn w:val="Normal"/>
    <w:uiPriority w:val="99"/>
    <w:unhideWhenUsed/>
    <w:rsid w:val="000574C4"/>
    <w:pPr>
      <w:spacing w:after="143" w:line="240" w:lineRule="auto"/>
    </w:pPr>
    <w:rPr>
      <w:rFonts w:ascii="Times New Roman" w:eastAsia="Times New Roman" w:hAnsi="Times New Roman" w:cs="Times New Roman"/>
      <w:sz w:val="24"/>
      <w:szCs w:val="24"/>
      <w:lang w:eastAsia="en-GB"/>
    </w:rPr>
  </w:style>
  <w:style w:type="paragraph" w:customStyle="1" w:styleId="Default">
    <w:name w:val="Default"/>
    <w:rsid w:val="00FE58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8742">
      <w:bodyDiv w:val="1"/>
      <w:marLeft w:val="0"/>
      <w:marRight w:val="0"/>
      <w:marTop w:val="0"/>
      <w:marBottom w:val="0"/>
      <w:divBdr>
        <w:top w:val="none" w:sz="0" w:space="0" w:color="auto"/>
        <w:left w:val="none" w:sz="0" w:space="0" w:color="auto"/>
        <w:bottom w:val="none" w:sz="0" w:space="0" w:color="auto"/>
        <w:right w:val="none" w:sz="0" w:space="0" w:color="auto"/>
      </w:divBdr>
    </w:div>
    <w:div w:id="157695590">
      <w:bodyDiv w:val="1"/>
      <w:marLeft w:val="0"/>
      <w:marRight w:val="0"/>
      <w:marTop w:val="0"/>
      <w:marBottom w:val="0"/>
      <w:divBdr>
        <w:top w:val="none" w:sz="0" w:space="0" w:color="auto"/>
        <w:left w:val="none" w:sz="0" w:space="0" w:color="auto"/>
        <w:bottom w:val="none" w:sz="0" w:space="0" w:color="auto"/>
        <w:right w:val="none" w:sz="0" w:space="0" w:color="auto"/>
      </w:divBdr>
      <w:divsChild>
        <w:div w:id="1970932977">
          <w:marLeft w:val="0"/>
          <w:marRight w:val="0"/>
          <w:marTop w:val="0"/>
          <w:marBottom w:val="0"/>
          <w:divBdr>
            <w:top w:val="none" w:sz="0" w:space="0" w:color="auto"/>
            <w:left w:val="none" w:sz="0" w:space="0" w:color="auto"/>
            <w:bottom w:val="none" w:sz="0" w:space="0" w:color="auto"/>
            <w:right w:val="none" w:sz="0" w:space="0" w:color="auto"/>
          </w:divBdr>
          <w:divsChild>
            <w:div w:id="2096122962">
              <w:marLeft w:val="-225"/>
              <w:marRight w:val="-225"/>
              <w:marTop w:val="0"/>
              <w:marBottom w:val="0"/>
              <w:divBdr>
                <w:top w:val="none" w:sz="0" w:space="0" w:color="auto"/>
                <w:left w:val="none" w:sz="0" w:space="0" w:color="auto"/>
                <w:bottom w:val="none" w:sz="0" w:space="0" w:color="auto"/>
                <w:right w:val="none" w:sz="0" w:space="0" w:color="auto"/>
              </w:divBdr>
              <w:divsChild>
                <w:div w:id="1442871024">
                  <w:marLeft w:val="0"/>
                  <w:marRight w:val="0"/>
                  <w:marTop w:val="0"/>
                  <w:marBottom w:val="0"/>
                  <w:divBdr>
                    <w:top w:val="none" w:sz="0" w:space="0" w:color="auto"/>
                    <w:left w:val="none" w:sz="0" w:space="0" w:color="auto"/>
                    <w:bottom w:val="none" w:sz="0" w:space="0" w:color="auto"/>
                    <w:right w:val="none" w:sz="0" w:space="0" w:color="auto"/>
                  </w:divBdr>
                  <w:divsChild>
                    <w:div w:id="1235824295">
                      <w:marLeft w:val="0"/>
                      <w:marRight w:val="0"/>
                      <w:marTop w:val="0"/>
                      <w:marBottom w:val="0"/>
                      <w:divBdr>
                        <w:top w:val="none" w:sz="0" w:space="0" w:color="auto"/>
                        <w:left w:val="none" w:sz="0" w:space="0" w:color="auto"/>
                        <w:bottom w:val="none" w:sz="0" w:space="0" w:color="auto"/>
                        <w:right w:val="none" w:sz="0" w:space="0" w:color="auto"/>
                      </w:divBdr>
                      <w:divsChild>
                        <w:div w:id="1537306704">
                          <w:marLeft w:val="0"/>
                          <w:marRight w:val="0"/>
                          <w:marTop w:val="0"/>
                          <w:marBottom w:val="0"/>
                          <w:divBdr>
                            <w:top w:val="none" w:sz="0" w:space="0" w:color="auto"/>
                            <w:left w:val="none" w:sz="0" w:space="0" w:color="auto"/>
                            <w:bottom w:val="none" w:sz="0" w:space="0" w:color="auto"/>
                            <w:right w:val="none" w:sz="0" w:space="0" w:color="auto"/>
                          </w:divBdr>
                          <w:divsChild>
                            <w:div w:id="1027411291">
                              <w:marLeft w:val="0"/>
                              <w:marRight w:val="0"/>
                              <w:marTop w:val="0"/>
                              <w:marBottom w:val="0"/>
                              <w:divBdr>
                                <w:top w:val="none" w:sz="0" w:space="0" w:color="auto"/>
                                <w:left w:val="none" w:sz="0" w:space="0" w:color="auto"/>
                                <w:bottom w:val="none" w:sz="0" w:space="0" w:color="auto"/>
                                <w:right w:val="none" w:sz="0" w:space="0" w:color="auto"/>
                              </w:divBdr>
                              <w:divsChild>
                                <w:div w:id="2077507136">
                                  <w:marLeft w:val="0"/>
                                  <w:marRight w:val="0"/>
                                  <w:marTop w:val="0"/>
                                  <w:marBottom w:val="0"/>
                                  <w:divBdr>
                                    <w:top w:val="none" w:sz="0" w:space="0" w:color="auto"/>
                                    <w:left w:val="none" w:sz="0" w:space="0" w:color="auto"/>
                                    <w:bottom w:val="none" w:sz="0" w:space="0" w:color="auto"/>
                                    <w:right w:val="none" w:sz="0" w:space="0" w:color="auto"/>
                                  </w:divBdr>
                                  <w:divsChild>
                                    <w:div w:id="10786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89418">
      <w:bodyDiv w:val="1"/>
      <w:marLeft w:val="0"/>
      <w:marRight w:val="0"/>
      <w:marTop w:val="0"/>
      <w:marBottom w:val="0"/>
      <w:divBdr>
        <w:top w:val="none" w:sz="0" w:space="0" w:color="auto"/>
        <w:left w:val="none" w:sz="0" w:space="0" w:color="auto"/>
        <w:bottom w:val="none" w:sz="0" w:space="0" w:color="auto"/>
        <w:right w:val="none" w:sz="0" w:space="0" w:color="auto"/>
      </w:divBdr>
      <w:divsChild>
        <w:div w:id="336270098">
          <w:marLeft w:val="0"/>
          <w:marRight w:val="0"/>
          <w:marTop w:val="0"/>
          <w:marBottom w:val="0"/>
          <w:divBdr>
            <w:top w:val="none" w:sz="0" w:space="0" w:color="auto"/>
            <w:left w:val="none" w:sz="0" w:space="0" w:color="auto"/>
            <w:bottom w:val="none" w:sz="0" w:space="0" w:color="auto"/>
            <w:right w:val="none" w:sz="0" w:space="0" w:color="auto"/>
          </w:divBdr>
          <w:divsChild>
            <w:div w:id="616985478">
              <w:marLeft w:val="-225"/>
              <w:marRight w:val="-225"/>
              <w:marTop w:val="0"/>
              <w:marBottom w:val="0"/>
              <w:divBdr>
                <w:top w:val="none" w:sz="0" w:space="0" w:color="auto"/>
                <w:left w:val="none" w:sz="0" w:space="0" w:color="auto"/>
                <w:bottom w:val="none" w:sz="0" w:space="0" w:color="auto"/>
                <w:right w:val="none" w:sz="0" w:space="0" w:color="auto"/>
              </w:divBdr>
              <w:divsChild>
                <w:div w:id="324632005">
                  <w:marLeft w:val="0"/>
                  <w:marRight w:val="0"/>
                  <w:marTop w:val="0"/>
                  <w:marBottom w:val="0"/>
                  <w:divBdr>
                    <w:top w:val="none" w:sz="0" w:space="0" w:color="auto"/>
                    <w:left w:val="none" w:sz="0" w:space="0" w:color="auto"/>
                    <w:bottom w:val="none" w:sz="0" w:space="0" w:color="auto"/>
                    <w:right w:val="none" w:sz="0" w:space="0" w:color="auto"/>
                  </w:divBdr>
                  <w:divsChild>
                    <w:div w:id="1389643201">
                      <w:marLeft w:val="0"/>
                      <w:marRight w:val="0"/>
                      <w:marTop w:val="0"/>
                      <w:marBottom w:val="0"/>
                      <w:divBdr>
                        <w:top w:val="none" w:sz="0" w:space="0" w:color="auto"/>
                        <w:left w:val="none" w:sz="0" w:space="0" w:color="auto"/>
                        <w:bottom w:val="none" w:sz="0" w:space="0" w:color="auto"/>
                        <w:right w:val="none" w:sz="0" w:space="0" w:color="auto"/>
                      </w:divBdr>
                      <w:divsChild>
                        <w:div w:id="461073728">
                          <w:marLeft w:val="0"/>
                          <w:marRight w:val="0"/>
                          <w:marTop w:val="0"/>
                          <w:marBottom w:val="0"/>
                          <w:divBdr>
                            <w:top w:val="none" w:sz="0" w:space="0" w:color="auto"/>
                            <w:left w:val="none" w:sz="0" w:space="0" w:color="auto"/>
                            <w:bottom w:val="none" w:sz="0" w:space="0" w:color="auto"/>
                            <w:right w:val="none" w:sz="0" w:space="0" w:color="auto"/>
                          </w:divBdr>
                          <w:divsChild>
                            <w:div w:id="241645659">
                              <w:marLeft w:val="0"/>
                              <w:marRight w:val="0"/>
                              <w:marTop w:val="0"/>
                              <w:marBottom w:val="0"/>
                              <w:divBdr>
                                <w:top w:val="none" w:sz="0" w:space="0" w:color="auto"/>
                                <w:left w:val="none" w:sz="0" w:space="0" w:color="auto"/>
                                <w:bottom w:val="none" w:sz="0" w:space="0" w:color="auto"/>
                                <w:right w:val="none" w:sz="0" w:space="0" w:color="auto"/>
                              </w:divBdr>
                              <w:divsChild>
                                <w:div w:id="1813205875">
                                  <w:marLeft w:val="0"/>
                                  <w:marRight w:val="0"/>
                                  <w:marTop w:val="0"/>
                                  <w:marBottom w:val="0"/>
                                  <w:divBdr>
                                    <w:top w:val="none" w:sz="0" w:space="0" w:color="auto"/>
                                    <w:left w:val="none" w:sz="0" w:space="0" w:color="auto"/>
                                    <w:bottom w:val="none" w:sz="0" w:space="0" w:color="auto"/>
                                    <w:right w:val="none" w:sz="0" w:space="0" w:color="auto"/>
                                  </w:divBdr>
                                  <w:divsChild>
                                    <w:div w:id="10624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937905">
      <w:bodyDiv w:val="1"/>
      <w:marLeft w:val="0"/>
      <w:marRight w:val="0"/>
      <w:marTop w:val="0"/>
      <w:marBottom w:val="0"/>
      <w:divBdr>
        <w:top w:val="none" w:sz="0" w:space="0" w:color="auto"/>
        <w:left w:val="none" w:sz="0" w:space="0" w:color="auto"/>
        <w:bottom w:val="none" w:sz="0" w:space="0" w:color="auto"/>
        <w:right w:val="none" w:sz="0" w:space="0" w:color="auto"/>
      </w:divBdr>
    </w:div>
    <w:div w:id="1427457923">
      <w:bodyDiv w:val="1"/>
      <w:marLeft w:val="0"/>
      <w:marRight w:val="0"/>
      <w:marTop w:val="0"/>
      <w:marBottom w:val="0"/>
      <w:divBdr>
        <w:top w:val="none" w:sz="0" w:space="0" w:color="auto"/>
        <w:left w:val="none" w:sz="0" w:space="0" w:color="auto"/>
        <w:bottom w:val="none" w:sz="0" w:space="0" w:color="auto"/>
        <w:right w:val="none" w:sz="0" w:space="0" w:color="auto"/>
      </w:divBdr>
    </w:div>
    <w:div w:id="15968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ya.turk@nh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pcnlgformulary.nhs.uk" TargetMode="External"/><Relationship Id="rId4" Type="http://schemas.microsoft.com/office/2007/relationships/stylesWithEffects" Target="stylesWithEffects.xml"/><Relationship Id="rId9" Type="http://schemas.openxmlformats.org/officeDocument/2006/relationships/hyperlink" Target="http://www.gov.uk/government/publications/drug-safety-update-monthly-newslette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rthernlincolnshireapc.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DB58-7A19-4215-B06E-D69D54B7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Turk</dc:creator>
  <cp:lastModifiedBy>Aliya Turk</cp:lastModifiedBy>
  <cp:revision>2</cp:revision>
  <dcterms:created xsi:type="dcterms:W3CDTF">2018-12-13T12:33:00Z</dcterms:created>
  <dcterms:modified xsi:type="dcterms:W3CDTF">2018-12-13T12:33:00Z</dcterms:modified>
</cp:coreProperties>
</file>