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492" w:rsidRDefault="00832492" w:rsidP="00832492">
      <w:pPr>
        <w:pStyle w:val="Title"/>
        <w:jc w:val="center"/>
      </w:pPr>
      <w:bookmarkStart w:id="0" w:name="_GoBack"/>
      <w:bookmarkEnd w:id="0"/>
      <w:r>
        <w:t>AREA PRESCRIBING COMMITEE NEWSLETTER</w:t>
      </w:r>
    </w:p>
    <w:p w:rsidR="00761DFD" w:rsidRDefault="00761DFD" w:rsidP="00832492">
      <w:pPr>
        <w:pStyle w:val="Title"/>
        <w:jc w:val="center"/>
      </w:pPr>
      <w:r>
        <w:t>10</w:t>
      </w:r>
      <w:r w:rsidRPr="00761DFD">
        <w:rPr>
          <w:vertAlign w:val="superscript"/>
        </w:rPr>
        <w:t>TH</w:t>
      </w:r>
      <w:r>
        <w:t xml:space="preserve"> May 2018</w:t>
      </w:r>
      <w:r w:rsidR="00505638">
        <w:t xml:space="preserve"> </w:t>
      </w:r>
    </w:p>
    <w:p w:rsidR="00832492" w:rsidRDefault="00832492" w:rsidP="006B5FB1">
      <w:pPr>
        <w:tabs>
          <w:tab w:val="left" w:pos="1080"/>
        </w:tabs>
        <w:rPr>
          <w:b/>
          <w:sz w:val="36"/>
          <w:szCs w:val="36"/>
          <w:u w:val="single"/>
        </w:rPr>
      </w:pPr>
    </w:p>
    <w:p w:rsidR="006B5FB1" w:rsidRDefault="004A2AEB" w:rsidP="004A2AEB">
      <w:pPr>
        <w:tabs>
          <w:tab w:val="left" w:pos="1080"/>
        </w:tabs>
        <w:rPr>
          <w:b/>
          <w:sz w:val="36"/>
          <w:szCs w:val="36"/>
        </w:rPr>
      </w:pPr>
      <w:r>
        <w:rPr>
          <w:b/>
          <w:sz w:val="36"/>
          <w:szCs w:val="36"/>
        </w:rPr>
        <w:t>1)</w:t>
      </w:r>
      <w:r w:rsidR="006B5FB1" w:rsidRPr="006B5FB1">
        <w:rPr>
          <w:b/>
          <w:sz w:val="36"/>
          <w:szCs w:val="36"/>
        </w:rPr>
        <w:t>Form</w:t>
      </w:r>
      <w:r w:rsidR="001060DD">
        <w:rPr>
          <w:b/>
          <w:sz w:val="36"/>
          <w:szCs w:val="36"/>
        </w:rPr>
        <w:t xml:space="preserve">ulary Amendments and Additions </w:t>
      </w:r>
      <w:r w:rsidR="006B5FB1" w:rsidRPr="006B5FB1">
        <w:rPr>
          <w:b/>
          <w:sz w:val="36"/>
          <w:szCs w:val="36"/>
        </w:rPr>
        <w:br/>
      </w:r>
      <w:r>
        <w:rPr>
          <w:b/>
          <w:sz w:val="36"/>
          <w:szCs w:val="36"/>
        </w:rPr>
        <w:t>2)</w:t>
      </w:r>
      <w:r w:rsidR="001060DD">
        <w:rPr>
          <w:b/>
          <w:sz w:val="36"/>
          <w:szCs w:val="36"/>
        </w:rPr>
        <w:t>NICE Technical Appraisals</w:t>
      </w:r>
      <w:r w:rsidR="006B5FB1" w:rsidRPr="006B5FB1">
        <w:rPr>
          <w:b/>
          <w:sz w:val="36"/>
          <w:szCs w:val="36"/>
        </w:rPr>
        <w:br/>
      </w:r>
      <w:r>
        <w:rPr>
          <w:b/>
          <w:sz w:val="36"/>
          <w:szCs w:val="36"/>
        </w:rPr>
        <w:t>3)</w:t>
      </w:r>
      <w:r w:rsidR="006B5FB1" w:rsidRPr="006B5FB1">
        <w:rPr>
          <w:b/>
          <w:sz w:val="36"/>
          <w:szCs w:val="36"/>
        </w:rPr>
        <w:t xml:space="preserve">Items approved at </w:t>
      </w:r>
      <w:r w:rsidR="001060DD">
        <w:rPr>
          <w:b/>
          <w:sz w:val="36"/>
          <w:szCs w:val="36"/>
        </w:rPr>
        <w:t>Area Prescribing Committee</w:t>
      </w:r>
      <w:r w:rsidR="006B5FB1" w:rsidRPr="006B5FB1">
        <w:rPr>
          <w:b/>
          <w:sz w:val="36"/>
          <w:szCs w:val="36"/>
        </w:rPr>
        <w:br/>
      </w:r>
      <w:r>
        <w:rPr>
          <w:b/>
          <w:sz w:val="36"/>
          <w:szCs w:val="36"/>
        </w:rPr>
        <w:t>4)</w:t>
      </w:r>
      <w:r w:rsidR="006B5FB1" w:rsidRPr="006B5FB1">
        <w:rPr>
          <w:b/>
          <w:sz w:val="36"/>
          <w:szCs w:val="36"/>
        </w:rPr>
        <w:t xml:space="preserve">MHRA Alerts </w:t>
      </w:r>
      <w:r w:rsidR="006B5FB1" w:rsidRPr="006B5FB1">
        <w:rPr>
          <w:b/>
          <w:sz w:val="36"/>
          <w:szCs w:val="36"/>
        </w:rPr>
        <w:br/>
      </w:r>
      <w:r>
        <w:rPr>
          <w:b/>
          <w:sz w:val="36"/>
          <w:szCs w:val="36"/>
        </w:rPr>
        <w:t>5)</w:t>
      </w:r>
      <w:r w:rsidR="006B5FB1" w:rsidRPr="006B5FB1">
        <w:rPr>
          <w:b/>
          <w:sz w:val="36"/>
          <w:szCs w:val="36"/>
        </w:rPr>
        <w:t>Net Formulary update</w:t>
      </w:r>
      <w:r w:rsidR="006B5FB1" w:rsidRPr="006B5FB1">
        <w:rPr>
          <w:b/>
          <w:sz w:val="36"/>
          <w:szCs w:val="36"/>
        </w:rPr>
        <w:br/>
      </w:r>
    </w:p>
    <w:p w:rsidR="006B5FB1" w:rsidRDefault="00A91CE4" w:rsidP="006B5FB1">
      <w:pPr>
        <w:tabs>
          <w:tab w:val="left" w:pos="1080"/>
        </w:tabs>
        <w:rPr>
          <w:b/>
          <w:sz w:val="36"/>
          <w:szCs w:val="36"/>
        </w:rPr>
      </w:pPr>
      <w:r>
        <w:rPr>
          <w:b/>
          <w:sz w:val="36"/>
          <w:szCs w:val="36"/>
        </w:rPr>
        <w:t xml:space="preserve">1) </w:t>
      </w:r>
      <w:r w:rsidR="006B5FB1">
        <w:rPr>
          <w:b/>
          <w:sz w:val="36"/>
          <w:szCs w:val="36"/>
        </w:rPr>
        <w:t>Formulary Amendments and Additions</w:t>
      </w:r>
    </w:p>
    <w:tbl>
      <w:tblPr>
        <w:tblStyle w:val="TableGrid"/>
        <w:tblW w:w="0" w:type="auto"/>
        <w:tblLook w:val="04A0" w:firstRow="1" w:lastRow="0" w:firstColumn="1" w:lastColumn="0" w:noHBand="0" w:noVBand="1"/>
      </w:tblPr>
      <w:tblGrid>
        <w:gridCol w:w="2754"/>
        <w:gridCol w:w="2310"/>
        <w:gridCol w:w="4178"/>
      </w:tblGrid>
      <w:tr w:rsidR="00B92B93" w:rsidTr="006B5FB1">
        <w:tc>
          <w:tcPr>
            <w:tcW w:w="3080" w:type="dxa"/>
          </w:tcPr>
          <w:p w:rsidR="00B92B93" w:rsidRPr="001060DD" w:rsidRDefault="00B92B93" w:rsidP="006B5FB1">
            <w:pPr>
              <w:tabs>
                <w:tab w:val="left" w:pos="1080"/>
              </w:tabs>
              <w:rPr>
                <w:rFonts w:cs="Arial"/>
                <w:b/>
                <w:color w:val="FF0000"/>
                <w:sz w:val="36"/>
                <w:szCs w:val="36"/>
              </w:rPr>
            </w:pPr>
            <w:r w:rsidRPr="001060DD">
              <w:rPr>
                <w:rFonts w:cs="Arial"/>
                <w:b/>
                <w:color w:val="FF0000"/>
                <w:sz w:val="36"/>
                <w:szCs w:val="36"/>
              </w:rPr>
              <w:t xml:space="preserve">Name of Drug </w:t>
            </w:r>
          </w:p>
        </w:tc>
        <w:tc>
          <w:tcPr>
            <w:tcW w:w="3081" w:type="dxa"/>
          </w:tcPr>
          <w:p w:rsidR="00B92B93" w:rsidRPr="001060DD" w:rsidRDefault="00B92B93" w:rsidP="006B5FB1">
            <w:pPr>
              <w:tabs>
                <w:tab w:val="left" w:pos="1080"/>
              </w:tabs>
              <w:rPr>
                <w:b/>
                <w:color w:val="FF0000"/>
                <w:sz w:val="36"/>
                <w:szCs w:val="36"/>
              </w:rPr>
            </w:pPr>
            <w:r w:rsidRPr="001060DD">
              <w:rPr>
                <w:b/>
                <w:color w:val="FF0000"/>
                <w:sz w:val="36"/>
                <w:szCs w:val="36"/>
              </w:rPr>
              <w:t xml:space="preserve">RAG Rated </w:t>
            </w:r>
          </w:p>
        </w:tc>
        <w:tc>
          <w:tcPr>
            <w:tcW w:w="3081" w:type="dxa"/>
          </w:tcPr>
          <w:p w:rsidR="00B92B93" w:rsidRDefault="00C707A8" w:rsidP="006B5FB1">
            <w:pPr>
              <w:tabs>
                <w:tab w:val="left" w:pos="1080"/>
              </w:tabs>
              <w:rPr>
                <w:rFonts w:cs="Arial"/>
                <w:b/>
                <w:color w:val="FF0000"/>
                <w:sz w:val="36"/>
                <w:szCs w:val="36"/>
              </w:rPr>
            </w:pPr>
            <w:r w:rsidRPr="001060DD">
              <w:rPr>
                <w:rFonts w:cs="Arial"/>
                <w:b/>
                <w:color w:val="FF0000"/>
                <w:sz w:val="36"/>
                <w:szCs w:val="36"/>
              </w:rPr>
              <w:t>Information</w:t>
            </w:r>
          </w:p>
          <w:p w:rsidR="001060DD" w:rsidRPr="001060DD" w:rsidRDefault="001060DD" w:rsidP="006B5FB1">
            <w:pPr>
              <w:tabs>
                <w:tab w:val="left" w:pos="1080"/>
              </w:tabs>
              <w:rPr>
                <w:rFonts w:cs="Arial"/>
                <w:b/>
                <w:color w:val="FF0000"/>
                <w:sz w:val="36"/>
                <w:szCs w:val="36"/>
              </w:rPr>
            </w:pPr>
          </w:p>
        </w:tc>
      </w:tr>
      <w:tr w:rsidR="006B5FB1" w:rsidTr="006B5FB1">
        <w:tc>
          <w:tcPr>
            <w:tcW w:w="3080" w:type="dxa"/>
          </w:tcPr>
          <w:p w:rsidR="006B5FB1" w:rsidRPr="006B5FB1" w:rsidRDefault="006B5FB1" w:rsidP="006B5FB1">
            <w:pPr>
              <w:tabs>
                <w:tab w:val="left" w:pos="1080"/>
              </w:tabs>
              <w:rPr>
                <w:b/>
                <w:sz w:val="36"/>
                <w:szCs w:val="36"/>
              </w:rPr>
            </w:pPr>
            <w:r w:rsidRPr="006B5FB1">
              <w:rPr>
                <w:rFonts w:cs="Arial"/>
                <w:b/>
                <w:sz w:val="36"/>
                <w:szCs w:val="36"/>
              </w:rPr>
              <w:t xml:space="preserve">Freestyle </w:t>
            </w:r>
            <w:proofErr w:type="spellStart"/>
            <w:r w:rsidRPr="006B5FB1">
              <w:rPr>
                <w:rFonts w:cs="Arial"/>
                <w:b/>
                <w:sz w:val="36"/>
                <w:szCs w:val="36"/>
              </w:rPr>
              <w:t>Libre</w:t>
            </w:r>
            <w:proofErr w:type="spellEnd"/>
            <w:r w:rsidRPr="006B5FB1">
              <w:rPr>
                <w:rFonts w:cs="Arial"/>
                <w:b/>
                <w:sz w:val="36"/>
                <w:szCs w:val="36"/>
              </w:rPr>
              <w:t xml:space="preserve"> </w:t>
            </w:r>
          </w:p>
          <w:p w:rsidR="006B5FB1" w:rsidRDefault="006B5FB1" w:rsidP="006B5FB1">
            <w:pPr>
              <w:tabs>
                <w:tab w:val="left" w:pos="1080"/>
              </w:tabs>
              <w:rPr>
                <w:b/>
                <w:sz w:val="36"/>
                <w:szCs w:val="36"/>
              </w:rPr>
            </w:pPr>
          </w:p>
        </w:tc>
        <w:tc>
          <w:tcPr>
            <w:tcW w:w="3081" w:type="dxa"/>
          </w:tcPr>
          <w:p w:rsidR="006B5FB1" w:rsidRDefault="006B5FB1" w:rsidP="006B5FB1">
            <w:pPr>
              <w:tabs>
                <w:tab w:val="left" w:pos="1080"/>
              </w:tabs>
              <w:rPr>
                <w:b/>
                <w:sz w:val="36"/>
                <w:szCs w:val="36"/>
              </w:rPr>
            </w:pPr>
            <w:r>
              <w:rPr>
                <w:b/>
                <w:sz w:val="36"/>
                <w:szCs w:val="36"/>
              </w:rPr>
              <w:t xml:space="preserve">Red </w:t>
            </w:r>
          </w:p>
        </w:tc>
        <w:tc>
          <w:tcPr>
            <w:tcW w:w="3081" w:type="dxa"/>
          </w:tcPr>
          <w:p w:rsidR="006B5FB1" w:rsidRPr="006B5FB1" w:rsidRDefault="006B5FB1" w:rsidP="006B5FB1">
            <w:pPr>
              <w:tabs>
                <w:tab w:val="left" w:pos="1080"/>
              </w:tabs>
              <w:rPr>
                <w:rFonts w:cs="Arial"/>
                <w:sz w:val="24"/>
                <w:szCs w:val="24"/>
              </w:rPr>
            </w:pPr>
            <w:r w:rsidRPr="006B5FB1">
              <w:rPr>
                <w:rFonts w:cs="Arial"/>
                <w:sz w:val="24"/>
                <w:szCs w:val="24"/>
              </w:rPr>
              <w:t xml:space="preserve">NICE have released a </w:t>
            </w:r>
            <w:proofErr w:type="spellStart"/>
            <w:r w:rsidRPr="006B5FB1">
              <w:rPr>
                <w:rStyle w:val="prod-title2"/>
                <w:rFonts w:cs="Arial"/>
                <w:color w:val="0E0E0E"/>
                <w:sz w:val="24"/>
                <w:szCs w:val="24"/>
              </w:rPr>
              <w:t>Medtech</w:t>
            </w:r>
            <w:proofErr w:type="spellEnd"/>
            <w:r w:rsidRPr="006B5FB1">
              <w:rPr>
                <w:rStyle w:val="prod-title2"/>
                <w:rFonts w:cs="Arial"/>
                <w:color w:val="0E0E0E"/>
                <w:sz w:val="24"/>
                <w:szCs w:val="24"/>
              </w:rPr>
              <w:t xml:space="preserve"> innovation briefing [MIB110] regarding Free style </w:t>
            </w:r>
            <w:proofErr w:type="spellStart"/>
            <w:r w:rsidRPr="006B5FB1">
              <w:rPr>
                <w:rStyle w:val="prod-title2"/>
                <w:rFonts w:cs="Arial"/>
                <w:color w:val="0E0E0E"/>
                <w:sz w:val="24"/>
                <w:szCs w:val="24"/>
              </w:rPr>
              <w:t>Libre</w:t>
            </w:r>
            <w:proofErr w:type="spellEnd"/>
            <w:r w:rsidRPr="006B5FB1">
              <w:rPr>
                <w:rStyle w:val="prod-title2"/>
                <w:rFonts w:cs="Arial"/>
                <w:color w:val="0E0E0E"/>
                <w:sz w:val="24"/>
                <w:szCs w:val="24"/>
              </w:rPr>
              <w:t xml:space="preserve">  which was published in July 2017, Further  information can  obtained via the NICE website </w:t>
            </w:r>
            <w:hyperlink r:id="rId9" w:history="1">
              <w:r w:rsidRPr="006B5FB1">
                <w:rPr>
                  <w:rStyle w:val="Hyperlink"/>
                  <w:rFonts w:cs="Arial"/>
                  <w:sz w:val="24"/>
                  <w:szCs w:val="24"/>
                </w:rPr>
                <w:t>https://www.nice.org.uk/advice/mib110</w:t>
              </w:r>
            </w:hyperlink>
          </w:p>
          <w:p w:rsidR="006B5FB1" w:rsidRPr="006B5FB1" w:rsidRDefault="006B5FB1" w:rsidP="006B5FB1">
            <w:pPr>
              <w:tabs>
                <w:tab w:val="left" w:pos="1080"/>
              </w:tabs>
              <w:rPr>
                <w:rFonts w:cs="Arial"/>
                <w:sz w:val="24"/>
                <w:szCs w:val="24"/>
              </w:rPr>
            </w:pPr>
            <w:r w:rsidRPr="006B5FB1">
              <w:rPr>
                <w:rFonts w:cs="Arial"/>
                <w:sz w:val="24"/>
                <w:szCs w:val="24"/>
              </w:rPr>
              <w:t xml:space="preserve">The Regional Medicines Optimisation Committee ( north) have also issued a position  statement regarding freestyle </w:t>
            </w:r>
            <w:proofErr w:type="spellStart"/>
            <w:r w:rsidRPr="006B5FB1">
              <w:rPr>
                <w:rFonts w:cs="Arial"/>
                <w:sz w:val="24"/>
                <w:szCs w:val="24"/>
              </w:rPr>
              <w:t>libre</w:t>
            </w:r>
            <w:proofErr w:type="spellEnd"/>
            <w:r w:rsidRPr="006B5FB1">
              <w:rPr>
                <w:rFonts w:cs="Arial"/>
                <w:sz w:val="24"/>
                <w:szCs w:val="24"/>
              </w:rPr>
              <w:t xml:space="preserve"> which can viewed via </w:t>
            </w:r>
            <w:hyperlink r:id="rId10" w:history="1">
              <w:r w:rsidRPr="006B5FB1">
                <w:rPr>
                  <w:rStyle w:val="Hyperlink"/>
                  <w:rFonts w:cs="Arial"/>
                  <w:sz w:val="24"/>
                  <w:szCs w:val="24"/>
                </w:rPr>
                <w:t>https://www.sps.nhs.uk/wp-content/uploads/2017/11/Flash-Glucose-monitoring-System-RMOC-Statement-final-2.pdf</w:t>
              </w:r>
            </w:hyperlink>
          </w:p>
          <w:p w:rsidR="006B5FB1" w:rsidRDefault="006B5FB1" w:rsidP="006B5FB1">
            <w:pPr>
              <w:tabs>
                <w:tab w:val="left" w:pos="1080"/>
              </w:tabs>
              <w:rPr>
                <w:rFonts w:cs="Arial"/>
                <w:sz w:val="24"/>
                <w:szCs w:val="24"/>
              </w:rPr>
            </w:pPr>
            <w:r w:rsidRPr="00744D1F">
              <w:rPr>
                <w:rFonts w:cs="Arial"/>
                <w:sz w:val="24"/>
                <w:szCs w:val="24"/>
              </w:rPr>
              <w:t xml:space="preserve">In view of the above statements the Northern Lincolnshire Area Prescribing </w:t>
            </w:r>
            <w:r w:rsidRPr="00744D1F">
              <w:rPr>
                <w:rFonts w:cs="Arial"/>
                <w:sz w:val="24"/>
                <w:szCs w:val="24"/>
              </w:rPr>
              <w:lastRenderedPageBreak/>
              <w:t xml:space="preserve">Committee( APC)  have issued the following positioning statement for free style </w:t>
            </w:r>
            <w:proofErr w:type="spellStart"/>
            <w:r w:rsidRPr="00744D1F">
              <w:rPr>
                <w:rFonts w:cs="Arial"/>
                <w:sz w:val="24"/>
                <w:szCs w:val="24"/>
              </w:rPr>
              <w:t>libre</w:t>
            </w:r>
            <w:proofErr w:type="spellEnd"/>
            <w:r w:rsidRPr="00744D1F">
              <w:rPr>
                <w:rFonts w:cs="Arial"/>
                <w:sz w:val="24"/>
                <w:szCs w:val="24"/>
              </w:rPr>
              <w:t xml:space="preserve">; </w:t>
            </w:r>
          </w:p>
          <w:p w:rsidR="006B5FB1" w:rsidRDefault="006B5FB1" w:rsidP="006B5FB1">
            <w:pPr>
              <w:tabs>
                <w:tab w:val="left" w:pos="1080"/>
              </w:tabs>
              <w:rPr>
                <w:b/>
                <w:sz w:val="36"/>
                <w:szCs w:val="36"/>
              </w:rPr>
            </w:pPr>
            <w:r w:rsidRPr="00744D1F">
              <w:rPr>
                <w:rFonts w:cs="Arial"/>
                <w:sz w:val="24"/>
                <w:szCs w:val="24"/>
              </w:rPr>
              <w:t>‘</w:t>
            </w:r>
            <w:r w:rsidRPr="00744D1F">
              <w:rPr>
                <w:rFonts w:cs="Arial"/>
                <w:i/>
                <w:sz w:val="24"/>
                <w:szCs w:val="24"/>
              </w:rPr>
              <w:t>The APC have adopted the RMOC statement and it has been agreed that this would be provided by the Acute Trust’ and not to be issued by Primary Care’</w:t>
            </w:r>
            <w:r w:rsidRPr="00744D1F">
              <w:rPr>
                <w:rFonts w:cs="Arial"/>
                <w:sz w:val="24"/>
                <w:szCs w:val="24"/>
              </w:rPr>
              <w:t xml:space="preserve"> </w:t>
            </w:r>
            <w:r w:rsidRPr="00744D1F">
              <w:rPr>
                <w:rFonts w:cs="Arial"/>
                <w:sz w:val="24"/>
                <w:szCs w:val="24"/>
              </w:rPr>
              <w:br/>
            </w:r>
          </w:p>
        </w:tc>
      </w:tr>
      <w:tr w:rsidR="006B5FB1" w:rsidTr="006B5FB1">
        <w:tc>
          <w:tcPr>
            <w:tcW w:w="3080" w:type="dxa"/>
          </w:tcPr>
          <w:p w:rsidR="006B5FB1" w:rsidRPr="00A91CE4" w:rsidRDefault="006B5FB1" w:rsidP="006B5FB1">
            <w:pPr>
              <w:tabs>
                <w:tab w:val="left" w:pos="1080"/>
              </w:tabs>
              <w:rPr>
                <w:rFonts w:cs="Arial"/>
                <w:b/>
                <w:sz w:val="36"/>
                <w:szCs w:val="36"/>
              </w:rPr>
            </w:pPr>
            <w:r w:rsidRPr="00A91CE4">
              <w:rPr>
                <w:rFonts w:cs="Arial"/>
                <w:b/>
                <w:sz w:val="36"/>
                <w:szCs w:val="36"/>
              </w:rPr>
              <w:lastRenderedPageBreak/>
              <w:t>Sumatriptan injections for cluster headaches</w:t>
            </w:r>
          </w:p>
          <w:p w:rsidR="006B5FB1" w:rsidRPr="00A91CE4" w:rsidRDefault="006B5FB1" w:rsidP="006B5FB1">
            <w:pPr>
              <w:tabs>
                <w:tab w:val="left" w:pos="1080"/>
              </w:tabs>
              <w:rPr>
                <w:b/>
                <w:sz w:val="36"/>
                <w:szCs w:val="36"/>
              </w:rPr>
            </w:pPr>
          </w:p>
        </w:tc>
        <w:tc>
          <w:tcPr>
            <w:tcW w:w="3081" w:type="dxa"/>
          </w:tcPr>
          <w:p w:rsidR="006B5FB1" w:rsidRDefault="00B92B93" w:rsidP="006B5FB1">
            <w:pPr>
              <w:tabs>
                <w:tab w:val="left" w:pos="1080"/>
              </w:tabs>
              <w:rPr>
                <w:b/>
                <w:sz w:val="36"/>
                <w:szCs w:val="36"/>
              </w:rPr>
            </w:pPr>
            <w:r>
              <w:rPr>
                <w:b/>
                <w:sz w:val="36"/>
                <w:szCs w:val="36"/>
              </w:rPr>
              <w:t xml:space="preserve">Amber </w:t>
            </w:r>
          </w:p>
        </w:tc>
        <w:tc>
          <w:tcPr>
            <w:tcW w:w="3081" w:type="dxa"/>
          </w:tcPr>
          <w:p w:rsidR="00B92B93" w:rsidRPr="00B92B93" w:rsidRDefault="00B92B93" w:rsidP="00B92B93">
            <w:pPr>
              <w:tabs>
                <w:tab w:val="left" w:pos="1080"/>
              </w:tabs>
              <w:rPr>
                <w:rFonts w:cs="Arial"/>
                <w:sz w:val="24"/>
                <w:szCs w:val="24"/>
              </w:rPr>
            </w:pPr>
            <w:r w:rsidRPr="00B92B93">
              <w:rPr>
                <w:rFonts w:cs="Arial"/>
                <w:sz w:val="24"/>
                <w:szCs w:val="24"/>
              </w:rPr>
              <w:t xml:space="preserve">Sumatriptan Injection have been agreed to be included this onto the formulary as Amber (specialist initiation) for cluster headaches. </w:t>
            </w:r>
          </w:p>
          <w:p w:rsidR="006B5FB1" w:rsidRDefault="006B5FB1" w:rsidP="006B5FB1">
            <w:pPr>
              <w:tabs>
                <w:tab w:val="left" w:pos="1080"/>
              </w:tabs>
              <w:rPr>
                <w:b/>
                <w:sz w:val="36"/>
                <w:szCs w:val="36"/>
              </w:rPr>
            </w:pPr>
          </w:p>
        </w:tc>
      </w:tr>
      <w:tr w:rsidR="006B5FB1" w:rsidTr="006B5FB1">
        <w:tc>
          <w:tcPr>
            <w:tcW w:w="3080" w:type="dxa"/>
          </w:tcPr>
          <w:p w:rsidR="00B92B93" w:rsidRPr="00A91CE4" w:rsidRDefault="00B92B93" w:rsidP="00B92B93">
            <w:pPr>
              <w:tabs>
                <w:tab w:val="left" w:pos="1080"/>
              </w:tabs>
              <w:rPr>
                <w:rFonts w:cs="Arial"/>
                <w:b/>
                <w:sz w:val="36"/>
                <w:szCs w:val="36"/>
              </w:rPr>
            </w:pPr>
            <w:r w:rsidRPr="00A91CE4">
              <w:rPr>
                <w:rFonts w:cs="Arial"/>
                <w:b/>
                <w:sz w:val="36"/>
                <w:szCs w:val="36"/>
              </w:rPr>
              <w:t>Tinzaparin subcutaneous injection</w:t>
            </w:r>
          </w:p>
          <w:p w:rsidR="006B5FB1" w:rsidRPr="00A91CE4" w:rsidRDefault="006B5FB1" w:rsidP="006B5FB1">
            <w:pPr>
              <w:tabs>
                <w:tab w:val="left" w:pos="1080"/>
              </w:tabs>
              <w:rPr>
                <w:b/>
                <w:sz w:val="36"/>
                <w:szCs w:val="36"/>
              </w:rPr>
            </w:pPr>
          </w:p>
        </w:tc>
        <w:tc>
          <w:tcPr>
            <w:tcW w:w="3081" w:type="dxa"/>
          </w:tcPr>
          <w:p w:rsidR="006B5FB1" w:rsidRDefault="00B92B93" w:rsidP="006B5FB1">
            <w:pPr>
              <w:tabs>
                <w:tab w:val="left" w:pos="1080"/>
              </w:tabs>
              <w:rPr>
                <w:b/>
                <w:sz w:val="36"/>
                <w:szCs w:val="36"/>
              </w:rPr>
            </w:pPr>
            <w:r>
              <w:rPr>
                <w:b/>
                <w:sz w:val="36"/>
                <w:szCs w:val="36"/>
              </w:rPr>
              <w:t>RED</w:t>
            </w:r>
          </w:p>
        </w:tc>
        <w:tc>
          <w:tcPr>
            <w:tcW w:w="3081" w:type="dxa"/>
          </w:tcPr>
          <w:p w:rsidR="00B92B93" w:rsidRPr="00B92B93" w:rsidRDefault="00B92B93" w:rsidP="00B92B93">
            <w:pPr>
              <w:tabs>
                <w:tab w:val="left" w:pos="1080"/>
              </w:tabs>
              <w:rPr>
                <w:rFonts w:cs="Arial"/>
                <w:sz w:val="24"/>
                <w:szCs w:val="24"/>
              </w:rPr>
            </w:pPr>
            <w:r w:rsidRPr="00B92B93">
              <w:rPr>
                <w:rFonts w:cs="Arial"/>
                <w:sz w:val="24"/>
                <w:szCs w:val="24"/>
              </w:rPr>
              <w:t xml:space="preserve">It has been agreed for </w:t>
            </w:r>
            <w:proofErr w:type="spellStart"/>
            <w:r w:rsidRPr="00B92B93">
              <w:rPr>
                <w:rFonts w:cs="Arial"/>
                <w:sz w:val="24"/>
                <w:szCs w:val="24"/>
              </w:rPr>
              <w:t>tinzaparin</w:t>
            </w:r>
            <w:proofErr w:type="spellEnd"/>
            <w:r w:rsidRPr="00B92B93">
              <w:rPr>
                <w:rFonts w:cs="Arial"/>
                <w:sz w:val="24"/>
                <w:szCs w:val="24"/>
              </w:rPr>
              <w:t xml:space="preserve"> to remain as RED (hospital only) until the low molecular weight guidelines have been approved and ratified. It has been noted that in some cases Primary care prescribers/ General practitioners can use their clinical discretion to prescribe if warranted. </w:t>
            </w:r>
          </w:p>
          <w:p w:rsidR="006B5FB1" w:rsidRDefault="006B5FB1" w:rsidP="006B5FB1">
            <w:pPr>
              <w:tabs>
                <w:tab w:val="left" w:pos="1080"/>
              </w:tabs>
              <w:rPr>
                <w:b/>
                <w:sz w:val="36"/>
                <w:szCs w:val="36"/>
              </w:rPr>
            </w:pPr>
          </w:p>
        </w:tc>
      </w:tr>
      <w:tr w:rsidR="006B5FB1" w:rsidTr="006B5FB1">
        <w:tc>
          <w:tcPr>
            <w:tcW w:w="3080" w:type="dxa"/>
          </w:tcPr>
          <w:p w:rsidR="00B92B93" w:rsidRPr="00A91CE4" w:rsidRDefault="00B92B93" w:rsidP="00B92B93">
            <w:pPr>
              <w:tabs>
                <w:tab w:val="left" w:pos="1080"/>
              </w:tabs>
              <w:rPr>
                <w:rFonts w:cs="Arial"/>
                <w:b/>
                <w:sz w:val="36"/>
                <w:szCs w:val="36"/>
              </w:rPr>
            </w:pPr>
            <w:r w:rsidRPr="00A91CE4">
              <w:rPr>
                <w:rFonts w:cs="Arial"/>
                <w:b/>
                <w:sz w:val="36"/>
                <w:szCs w:val="36"/>
              </w:rPr>
              <w:t>Tadalafil once daily</w:t>
            </w:r>
          </w:p>
          <w:p w:rsidR="006B5FB1" w:rsidRPr="00A91CE4" w:rsidRDefault="006B5FB1" w:rsidP="006B5FB1">
            <w:pPr>
              <w:tabs>
                <w:tab w:val="left" w:pos="1080"/>
              </w:tabs>
              <w:rPr>
                <w:b/>
                <w:sz w:val="36"/>
                <w:szCs w:val="36"/>
              </w:rPr>
            </w:pPr>
          </w:p>
        </w:tc>
        <w:tc>
          <w:tcPr>
            <w:tcW w:w="3081" w:type="dxa"/>
          </w:tcPr>
          <w:p w:rsidR="006B5FB1" w:rsidRDefault="00B92B93" w:rsidP="006B5FB1">
            <w:pPr>
              <w:tabs>
                <w:tab w:val="left" w:pos="1080"/>
              </w:tabs>
              <w:rPr>
                <w:b/>
                <w:sz w:val="36"/>
                <w:szCs w:val="36"/>
              </w:rPr>
            </w:pPr>
            <w:r>
              <w:rPr>
                <w:b/>
                <w:sz w:val="36"/>
                <w:szCs w:val="36"/>
              </w:rPr>
              <w:t xml:space="preserve">Red </w:t>
            </w:r>
          </w:p>
        </w:tc>
        <w:tc>
          <w:tcPr>
            <w:tcW w:w="3081" w:type="dxa"/>
          </w:tcPr>
          <w:p w:rsidR="00B92B93" w:rsidRPr="00B92B93" w:rsidRDefault="00B92B93" w:rsidP="00B92B93">
            <w:pPr>
              <w:tabs>
                <w:tab w:val="left" w:pos="1080"/>
              </w:tabs>
              <w:rPr>
                <w:rFonts w:cs="Arial"/>
                <w:sz w:val="24"/>
                <w:szCs w:val="24"/>
              </w:rPr>
            </w:pPr>
            <w:r w:rsidRPr="00B92B93">
              <w:rPr>
                <w:rFonts w:cs="Arial"/>
                <w:sz w:val="24"/>
                <w:szCs w:val="24"/>
              </w:rPr>
              <w:t xml:space="preserve">Tadalafil once daily preparation has been amended from GREEN to RED (hospital only) prescribing with restrictions following the items for review document. Further evidence is to be requested to stipulate the clinical indications to sustain its position and use on the formulary. </w:t>
            </w:r>
          </w:p>
          <w:p w:rsidR="006B5FB1" w:rsidRDefault="006B5FB1" w:rsidP="006B5FB1">
            <w:pPr>
              <w:tabs>
                <w:tab w:val="left" w:pos="1080"/>
              </w:tabs>
              <w:rPr>
                <w:b/>
                <w:sz w:val="36"/>
                <w:szCs w:val="36"/>
              </w:rPr>
            </w:pPr>
          </w:p>
        </w:tc>
      </w:tr>
      <w:tr w:rsidR="00B92B93" w:rsidTr="006B5FB1">
        <w:tc>
          <w:tcPr>
            <w:tcW w:w="3080" w:type="dxa"/>
          </w:tcPr>
          <w:p w:rsidR="00B92B93" w:rsidRPr="00A91CE4" w:rsidRDefault="00B92B93" w:rsidP="00B92B93">
            <w:pPr>
              <w:tabs>
                <w:tab w:val="left" w:pos="1080"/>
              </w:tabs>
              <w:rPr>
                <w:rFonts w:cs="Arial"/>
                <w:b/>
                <w:sz w:val="36"/>
                <w:szCs w:val="36"/>
              </w:rPr>
            </w:pPr>
            <w:r w:rsidRPr="00A91CE4">
              <w:rPr>
                <w:rFonts w:cs="Arial"/>
                <w:b/>
                <w:sz w:val="36"/>
                <w:szCs w:val="36"/>
              </w:rPr>
              <w:t>Midodrine</w:t>
            </w:r>
          </w:p>
        </w:tc>
        <w:tc>
          <w:tcPr>
            <w:tcW w:w="3081" w:type="dxa"/>
          </w:tcPr>
          <w:p w:rsidR="00B92B93" w:rsidRDefault="00B92B93" w:rsidP="006B5FB1">
            <w:pPr>
              <w:tabs>
                <w:tab w:val="left" w:pos="1080"/>
              </w:tabs>
              <w:rPr>
                <w:b/>
                <w:sz w:val="36"/>
                <w:szCs w:val="36"/>
              </w:rPr>
            </w:pPr>
            <w:r>
              <w:rPr>
                <w:b/>
                <w:sz w:val="36"/>
                <w:szCs w:val="36"/>
              </w:rPr>
              <w:t>RED</w:t>
            </w:r>
          </w:p>
        </w:tc>
        <w:tc>
          <w:tcPr>
            <w:tcW w:w="3081" w:type="dxa"/>
          </w:tcPr>
          <w:p w:rsidR="00B92B93" w:rsidRPr="00B92B93" w:rsidRDefault="00B92B93" w:rsidP="00B92B93">
            <w:pPr>
              <w:tabs>
                <w:tab w:val="left" w:pos="1080"/>
              </w:tabs>
              <w:rPr>
                <w:rFonts w:cs="Arial"/>
                <w:sz w:val="24"/>
                <w:szCs w:val="24"/>
              </w:rPr>
            </w:pPr>
            <w:r w:rsidRPr="00CB3D5C">
              <w:rPr>
                <w:rFonts w:cs="Arial"/>
                <w:sz w:val="24"/>
                <w:szCs w:val="24"/>
              </w:rPr>
              <w:t xml:space="preserve">It is unclear from the licencing as to how this would be RAG rated without shared care being in place.  It was agreed that it would be RAG rated RED </w:t>
            </w:r>
            <w:proofErr w:type="gramStart"/>
            <w:r w:rsidRPr="00CB3D5C">
              <w:rPr>
                <w:rFonts w:cs="Arial"/>
                <w:sz w:val="24"/>
                <w:szCs w:val="24"/>
              </w:rPr>
              <w:t>( Hospital</w:t>
            </w:r>
            <w:proofErr w:type="gramEnd"/>
            <w:r w:rsidRPr="00CB3D5C">
              <w:rPr>
                <w:rFonts w:cs="Arial"/>
                <w:sz w:val="24"/>
                <w:szCs w:val="24"/>
              </w:rPr>
              <w:t xml:space="preserve"> Only) until a shared care protocol or agreement is in place.</w:t>
            </w:r>
          </w:p>
        </w:tc>
      </w:tr>
      <w:tr w:rsidR="00B92B93" w:rsidTr="006B5FB1">
        <w:tc>
          <w:tcPr>
            <w:tcW w:w="3080" w:type="dxa"/>
          </w:tcPr>
          <w:p w:rsidR="00540DFD" w:rsidRDefault="00B92B93" w:rsidP="00B92B93">
            <w:pPr>
              <w:pStyle w:val="NoSpacing"/>
              <w:suppressAutoHyphens w:val="0"/>
              <w:spacing w:line="240" w:lineRule="auto"/>
              <w:rPr>
                <w:rStyle w:val="redtextbold"/>
                <w:rFonts w:asciiTheme="minorHAnsi" w:hAnsiTheme="minorHAnsi"/>
                <w:b/>
                <w:sz w:val="36"/>
                <w:szCs w:val="36"/>
              </w:rPr>
            </w:pPr>
            <w:r w:rsidRPr="00A91CE4">
              <w:rPr>
                <w:rStyle w:val="redtextbold"/>
                <w:rFonts w:asciiTheme="minorHAnsi" w:hAnsiTheme="minorHAnsi"/>
                <w:b/>
                <w:sz w:val="36"/>
                <w:szCs w:val="36"/>
              </w:rPr>
              <w:lastRenderedPageBreak/>
              <w:t xml:space="preserve">Dulaglutide </w:t>
            </w:r>
          </w:p>
          <w:p w:rsidR="00B92B93" w:rsidRPr="00A91CE4" w:rsidRDefault="00540DFD" w:rsidP="00B92B93">
            <w:pPr>
              <w:pStyle w:val="NoSpacing"/>
              <w:suppressAutoHyphens w:val="0"/>
              <w:spacing w:line="240" w:lineRule="auto"/>
              <w:rPr>
                <w:rFonts w:asciiTheme="minorHAnsi" w:hAnsiTheme="minorHAnsi" w:cs="Arial"/>
                <w:b/>
                <w:sz w:val="36"/>
                <w:szCs w:val="36"/>
              </w:rPr>
            </w:pPr>
            <w:r>
              <w:rPr>
                <w:rStyle w:val="redtextbold"/>
                <w:rFonts w:asciiTheme="minorHAnsi" w:hAnsiTheme="minorHAnsi"/>
                <w:b/>
                <w:sz w:val="36"/>
                <w:szCs w:val="36"/>
              </w:rPr>
              <w:t>(</w:t>
            </w:r>
            <w:proofErr w:type="spellStart"/>
            <w:r w:rsidR="00B92B93" w:rsidRPr="00A91CE4">
              <w:rPr>
                <w:rStyle w:val="redtextbold"/>
                <w:rFonts w:asciiTheme="minorHAnsi" w:hAnsiTheme="minorHAnsi"/>
                <w:b/>
                <w:sz w:val="36"/>
                <w:szCs w:val="36"/>
              </w:rPr>
              <w:t>Trulicity</w:t>
            </w:r>
            <w:proofErr w:type="spellEnd"/>
            <w:r w:rsidR="00B92B93" w:rsidRPr="00A91CE4">
              <w:rPr>
                <w:rStyle w:val="redtextbold"/>
                <w:rFonts w:asciiTheme="minorHAnsi" w:hAnsiTheme="minorHAnsi"/>
                <w:b/>
                <w:sz w:val="36"/>
                <w:szCs w:val="36"/>
              </w:rPr>
              <w:t>)</w:t>
            </w:r>
          </w:p>
          <w:p w:rsidR="00B92B93" w:rsidRPr="00A91CE4" w:rsidRDefault="00B92B93" w:rsidP="00B92B93">
            <w:pPr>
              <w:tabs>
                <w:tab w:val="left" w:pos="1080"/>
              </w:tabs>
              <w:rPr>
                <w:rFonts w:cs="Arial"/>
                <w:b/>
                <w:sz w:val="36"/>
                <w:szCs w:val="36"/>
              </w:rPr>
            </w:pPr>
          </w:p>
        </w:tc>
        <w:tc>
          <w:tcPr>
            <w:tcW w:w="3081" w:type="dxa"/>
          </w:tcPr>
          <w:p w:rsidR="00B92B93" w:rsidRDefault="00B92B93" w:rsidP="006B5FB1">
            <w:pPr>
              <w:tabs>
                <w:tab w:val="left" w:pos="1080"/>
              </w:tabs>
              <w:rPr>
                <w:b/>
                <w:sz w:val="36"/>
                <w:szCs w:val="36"/>
              </w:rPr>
            </w:pPr>
            <w:r>
              <w:rPr>
                <w:b/>
                <w:sz w:val="36"/>
                <w:szCs w:val="36"/>
              </w:rPr>
              <w:t xml:space="preserve">Amber </w:t>
            </w:r>
          </w:p>
        </w:tc>
        <w:tc>
          <w:tcPr>
            <w:tcW w:w="3081" w:type="dxa"/>
          </w:tcPr>
          <w:p w:rsidR="00B92B93" w:rsidRPr="00CB3D5C" w:rsidRDefault="00B92B93" w:rsidP="00A91CE4">
            <w:pPr>
              <w:pStyle w:val="NoSpacing"/>
              <w:suppressAutoHyphens w:val="0"/>
              <w:spacing w:line="240" w:lineRule="auto"/>
              <w:rPr>
                <w:rFonts w:asciiTheme="minorHAnsi" w:hAnsiTheme="minorHAnsi" w:cs="Arial"/>
                <w:sz w:val="24"/>
                <w:szCs w:val="24"/>
              </w:rPr>
            </w:pPr>
            <w:r w:rsidRPr="00CB3D5C">
              <w:rPr>
                <w:rFonts w:asciiTheme="minorHAnsi" w:hAnsiTheme="minorHAnsi" w:cs="Arial"/>
                <w:sz w:val="24"/>
                <w:szCs w:val="24"/>
              </w:rPr>
              <w:t xml:space="preserve">Dulaglutide was agreed to be included onto the formulary in February and listed as Amber ‘specialist only’.  It have been discussed further and the decision has been made for </w:t>
            </w:r>
            <w:proofErr w:type="spellStart"/>
            <w:r w:rsidRPr="00CB3D5C">
              <w:rPr>
                <w:rFonts w:asciiTheme="minorHAnsi" w:hAnsiTheme="minorHAnsi" w:cs="Arial"/>
                <w:sz w:val="24"/>
                <w:szCs w:val="24"/>
              </w:rPr>
              <w:t>Trulicity</w:t>
            </w:r>
            <w:proofErr w:type="spellEnd"/>
            <w:r w:rsidRPr="00CB3D5C">
              <w:rPr>
                <w:rFonts w:asciiTheme="minorHAnsi" w:hAnsiTheme="minorHAnsi" w:cs="Arial"/>
                <w:sz w:val="24"/>
                <w:szCs w:val="24"/>
              </w:rPr>
              <w:t xml:space="preserve"> to remain Amber but to include the following phrase from the diabetes pathway ‘Initiation of GLP1 analogues to be carried out by only prescribers trained in insulin therapy’ this will enable prescribers sufficiently trained to prescribe it, and avoid unnecessary restrictions. </w:t>
            </w:r>
          </w:p>
          <w:p w:rsidR="00B92B93" w:rsidRPr="00CB3D5C" w:rsidRDefault="00B92B93" w:rsidP="00B92B93">
            <w:pPr>
              <w:tabs>
                <w:tab w:val="left" w:pos="1080"/>
              </w:tabs>
              <w:rPr>
                <w:rFonts w:cs="Arial"/>
                <w:sz w:val="24"/>
                <w:szCs w:val="24"/>
              </w:rPr>
            </w:pPr>
          </w:p>
        </w:tc>
      </w:tr>
    </w:tbl>
    <w:p w:rsidR="008D6DBB" w:rsidRPr="00A91CE4" w:rsidRDefault="008D6DBB" w:rsidP="00686653">
      <w:pPr>
        <w:tabs>
          <w:tab w:val="left" w:pos="1080"/>
        </w:tabs>
        <w:rPr>
          <w:rFonts w:cs="Arial"/>
          <w:b/>
          <w:sz w:val="36"/>
          <w:szCs w:val="36"/>
        </w:rPr>
      </w:pPr>
    </w:p>
    <w:p w:rsidR="00DD191D" w:rsidRPr="00A91CE4" w:rsidRDefault="00A91CE4" w:rsidP="00A91CE4">
      <w:pPr>
        <w:tabs>
          <w:tab w:val="left" w:pos="1080"/>
        </w:tabs>
        <w:rPr>
          <w:rFonts w:cs="Arial"/>
          <w:b/>
          <w:sz w:val="36"/>
          <w:szCs w:val="36"/>
          <w:u w:val="single"/>
        </w:rPr>
      </w:pPr>
      <w:proofErr w:type="gramStart"/>
      <w:r>
        <w:rPr>
          <w:rFonts w:cs="Arial"/>
          <w:b/>
          <w:sz w:val="36"/>
          <w:szCs w:val="36"/>
          <w:u w:val="single"/>
        </w:rPr>
        <w:t>2)</w:t>
      </w:r>
      <w:r w:rsidR="008D6DBB" w:rsidRPr="00A91CE4">
        <w:rPr>
          <w:rFonts w:cs="Arial"/>
          <w:b/>
          <w:sz w:val="36"/>
          <w:szCs w:val="36"/>
          <w:u w:val="single"/>
        </w:rPr>
        <w:t>NICE</w:t>
      </w:r>
      <w:proofErr w:type="gramEnd"/>
      <w:r w:rsidR="008D6DBB" w:rsidRPr="00A91CE4">
        <w:rPr>
          <w:rFonts w:cs="Arial"/>
          <w:b/>
          <w:sz w:val="36"/>
          <w:szCs w:val="36"/>
          <w:u w:val="single"/>
        </w:rPr>
        <w:t xml:space="preserve"> Technical Appraisals </w:t>
      </w:r>
    </w:p>
    <w:p w:rsidR="00967B8E" w:rsidRPr="000C695F" w:rsidRDefault="00967B8E" w:rsidP="00A91CE4">
      <w:pPr>
        <w:tabs>
          <w:tab w:val="left" w:pos="1080"/>
        </w:tabs>
        <w:rPr>
          <w:rFonts w:cs="Arial"/>
          <w:sz w:val="36"/>
          <w:szCs w:val="36"/>
        </w:rPr>
      </w:pPr>
      <w:r w:rsidRPr="000C695F">
        <w:rPr>
          <w:rFonts w:cs="Arial"/>
          <w:sz w:val="36"/>
          <w:szCs w:val="36"/>
        </w:rPr>
        <w:t>March</w:t>
      </w:r>
      <w:r w:rsidR="001060DD" w:rsidRPr="000C695F">
        <w:rPr>
          <w:rFonts w:cs="Arial"/>
          <w:sz w:val="36"/>
          <w:szCs w:val="36"/>
        </w:rPr>
        <w:t xml:space="preserve"> and April</w:t>
      </w:r>
      <w:r w:rsidR="005C6D25" w:rsidRPr="000C695F">
        <w:rPr>
          <w:rFonts w:cs="Arial"/>
          <w:sz w:val="36"/>
          <w:szCs w:val="36"/>
        </w:rPr>
        <w:t xml:space="preserve"> 2018</w:t>
      </w:r>
      <w:r w:rsidRPr="000C695F">
        <w:rPr>
          <w:rFonts w:cs="Arial"/>
          <w:sz w:val="36"/>
          <w:szCs w:val="36"/>
        </w:rPr>
        <w:t xml:space="preserve"> Technical Appraisals </w:t>
      </w:r>
    </w:p>
    <w:p w:rsidR="004A2AEB" w:rsidRDefault="004A2AEB" w:rsidP="00A51211">
      <w:pPr>
        <w:pStyle w:val="ListParagraph"/>
        <w:tabs>
          <w:tab w:val="left" w:pos="1080"/>
        </w:tabs>
        <w:rPr>
          <w:rFonts w:ascii="Arial" w:hAnsi="Arial" w:cs="Arial"/>
          <w:sz w:val="24"/>
          <w:szCs w:val="24"/>
        </w:rPr>
      </w:pPr>
    </w:p>
    <w:tbl>
      <w:tblPr>
        <w:tblStyle w:val="TableGrid"/>
        <w:tblW w:w="0" w:type="auto"/>
        <w:tblInd w:w="-34" w:type="dxa"/>
        <w:tblLook w:val="04A0" w:firstRow="1" w:lastRow="0" w:firstColumn="1" w:lastColumn="0" w:noHBand="0" w:noVBand="1"/>
      </w:tblPr>
      <w:tblGrid>
        <w:gridCol w:w="1843"/>
        <w:gridCol w:w="5954"/>
        <w:gridCol w:w="1479"/>
      </w:tblGrid>
      <w:tr w:rsidR="004A2AEB" w:rsidTr="00A91CE4">
        <w:tc>
          <w:tcPr>
            <w:tcW w:w="1843" w:type="dxa"/>
          </w:tcPr>
          <w:p w:rsidR="004A2AEB" w:rsidRPr="00A91CE4" w:rsidRDefault="00A91CE4" w:rsidP="00A51211">
            <w:pPr>
              <w:pStyle w:val="ListParagraph"/>
              <w:tabs>
                <w:tab w:val="left" w:pos="1080"/>
              </w:tabs>
              <w:ind w:left="0"/>
              <w:rPr>
                <w:rFonts w:ascii="Arial" w:hAnsi="Arial" w:cs="Arial"/>
                <w:b/>
                <w:sz w:val="28"/>
                <w:szCs w:val="28"/>
              </w:rPr>
            </w:pPr>
            <w:r w:rsidRPr="00A91CE4">
              <w:rPr>
                <w:rFonts w:ascii="Arial" w:hAnsi="Arial" w:cs="Arial"/>
                <w:b/>
                <w:sz w:val="28"/>
                <w:szCs w:val="28"/>
              </w:rPr>
              <w:t>NICE TA</w:t>
            </w:r>
          </w:p>
        </w:tc>
        <w:tc>
          <w:tcPr>
            <w:tcW w:w="5954" w:type="dxa"/>
          </w:tcPr>
          <w:p w:rsidR="004A2AEB" w:rsidRPr="00A91CE4" w:rsidRDefault="00A91CE4" w:rsidP="00A51211">
            <w:pPr>
              <w:pStyle w:val="ListParagraph"/>
              <w:tabs>
                <w:tab w:val="left" w:pos="1080"/>
              </w:tabs>
              <w:ind w:left="0"/>
              <w:rPr>
                <w:rFonts w:ascii="Arial" w:hAnsi="Arial" w:cs="Arial"/>
                <w:b/>
                <w:sz w:val="28"/>
                <w:szCs w:val="28"/>
              </w:rPr>
            </w:pPr>
            <w:r w:rsidRPr="00A91CE4">
              <w:rPr>
                <w:rFonts w:ascii="Arial" w:hAnsi="Arial" w:cs="Arial"/>
                <w:b/>
                <w:sz w:val="28"/>
                <w:szCs w:val="28"/>
              </w:rPr>
              <w:t>indication</w:t>
            </w:r>
          </w:p>
        </w:tc>
        <w:tc>
          <w:tcPr>
            <w:tcW w:w="1479" w:type="dxa"/>
          </w:tcPr>
          <w:p w:rsidR="004A2AEB" w:rsidRPr="00A91CE4" w:rsidRDefault="00A91CE4" w:rsidP="00A51211">
            <w:pPr>
              <w:pStyle w:val="ListParagraph"/>
              <w:tabs>
                <w:tab w:val="left" w:pos="1080"/>
              </w:tabs>
              <w:ind w:left="0"/>
              <w:rPr>
                <w:rFonts w:ascii="Arial" w:hAnsi="Arial" w:cs="Arial"/>
                <w:b/>
                <w:sz w:val="28"/>
                <w:szCs w:val="28"/>
              </w:rPr>
            </w:pPr>
            <w:r w:rsidRPr="00A91CE4">
              <w:rPr>
                <w:rFonts w:ascii="Arial" w:hAnsi="Arial" w:cs="Arial"/>
                <w:b/>
                <w:sz w:val="28"/>
                <w:szCs w:val="28"/>
              </w:rPr>
              <w:t xml:space="preserve">RAG rating </w:t>
            </w:r>
          </w:p>
        </w:tc>
      </w:tr>
      <w:tr w:rsidR="004A2AEB" w:rsidTr="00A91CE4">
        <w:tc>
          <w:tcPr>
            <w:tcW w:w="1843" w:type="dxa"/>
          </w:tcPr>
          <w:p w:rsidR="004A2AEB" w:rsidRPr="00A91CE4" w:rsidRDefault="004A2AEB" w:rsidP="00A51211">
            <w:pPr>
              <w:pStyle w:val="ListParagraph"/>
              <w:tabs>
                <w:tab w:val="left" w:pos="1080"/>
              </w:tabs>
              <w:ind w:left="0"/>
              <w:rPr>
                <w:rFonts w:ascii="Arial" w:hAnsi="Arial" w:cs="Arial"/>
                <w:sz w:val="24"/>
                <w:szCs w:val="24"/>
              </w:rPr>
            </w:pPr>
            <w:r w:rsidRPr="00A91CE4">
              <w:rPr>
                <w:rFonts w:ascii="Arial" w:hAnsi="Arial" w:cs="Arial"/>
                <w:sz w:val="24"/>
                <w:szCs w:val="24"/>
              </w:rPr>
              <w:t>NICE TA504</w:t>
            </w:r>
          </w:p>
        </w:tc>
        <w:tc>
          <w:tcPr>
            <w:tcW w:w="5954" w:type="dxa"/>
          </w:tcPr>
          <w:p w:rsidR="004A2AEB" w:rsidRPr="004A2AEB" w:rsidRDefault="004A2AEB" w:rsidP="004A2AEB">
            <w:pPr>
              <w:tabs>
                <w:tab w:val="left" w:pos="1080"/>
              </w:tabs>
              <w:rPr>
                <w:rFonts w:ascii="Arial" w:hAnsi="Arial" w:cs="Arial"/>
                <w:sz w:val="24"/>
                <w:szCs w:val="24"/>
              </w:rPr>
            </w:pPr>
            <w:proofErr w:type="spellStart"/>
            <w:r w:rsidRPr="004A2AEB">
              <w:rPr>
                <w:rFonts w:ascii="Arial" w:hAnsi="Arial" w:cs="Arial"/>
                <w:sz w:val="24"/>
                <w:szCs w:val="24"/>
              </w:rPr>
              <w:t>Pirfenidone</w:t>
            </w:r>
            <w:proofErr w:type="spellEnd"/>
            <w:r w:rsidRPr="004A2AEB">
              <w:rPr>
                <w:rFonts w:ascii="Arial" w:hAnsi="Arial" w:cs="Arial"/>
                <w:sz w:val="24"/>
                <w:szCs w:val="24"/>
              </w:rPr>
              <w:t xml:space="preserve"> for treating idiopathic pulmonary fibrosis </w:t>
            </w:r>
          </w:p>
        </w:tc>
        <w:tc>
          <w:tcPr>
            <w:tcW w:w="1479" w:type="dxa"/>
          </w:tcPr>
          <w:p w:rsidR="004A2AEB" w:rsidRDefault="004A2AEB" w:rsidP="00A51211">
            <w:pPr>
              <w:pStyle w:val="ListParagraph"/>
              <w:tabs>
                <w:tab w:val="left" w:pos="1080"/>
              </w:tabs>
              <w:ind w:left="0"/>
              <w:rPr>
                <w:rFonts w:ascii="Arial" w:hAnsi="Arial" w:cs="Arial"/>
                <w:sz w:val="24"/>
                <w:szCs w:val="24"/>
              </w:rPr>
            </w:pPr>
            <w:r>
              <w:rPr>
                <w:rFonts w:ascii="Arial" w:hAnsi="Arial" w:cs="Arial"/>
                <w:sz w:val="24"/>
                <w:szCs w:val="24"/>
              </w:rPr>
              <w:t>RED</w:t>
            </w:r>
          </w:p>
        </w:tc>
      </w:tr>
      <w:tr w:rsidR="004A2AEB" w:rsidTr="00A91CE4">
        <w:tc>
          <w:tcPr>
            <w:tcW w:w="1843" w:type="dxa"/>
          </w:tcPr>
          <w:p w:rsidR="004A2AEB" w:rsidRPr="00A91CE4" w:rsidRDefault="004A2AEB" w:rsidP="00A51211">
            <w:pPr>
              <w:pStyle w:val="ListParagraph"/>
              <w:tabs>
                <w:tab w:val="left" w:pos="1080"/>
              </w:tabs>
              <w:ind w:left="0"/>
              <w:rPr>
                <w:rFonts w:ascii="Arial" w:hAnsi="Arial" w:cs="Arial"/>
                <w:sz w:val="24"/>
                <w:szCs w:val="24"/>
              </w:rPr>
            </w:pPr>
            <w:r w:rsidRPr="00A91CE4">
              <w:rPr>
                <w:rFonts w:ascii="Arial" w:hAnsi="Arial" w:cs="Arial"/>
                <w:sz w:val="24"/>
                <w:szCs w:val="24"/>
              </w:rPr>
              <w:t xml:space="preserve">NICE </w:t>
            </w:r>
            <w:hyperlink r:id="rId11" w:history="1">
              <w:r w:rsidRPr="00A91CE4">
                <w:rPr>
                  <w:rStyle w:val="Hyperlink"/>
                  <w:rFonts w:ascii="Arial" w:hAnsi="Arial" w:cs="Arial"/>
                  <w:sz w:val="24"/>
                  <w:szCs w:val="24"/>
                </w:rPr>
                <w:t>TA505</w:t>
              </w:r>
            </w:hyperlink>
          </w:p>
        </w:tc>
        <w:tc>
          <w:tcPr>
            <w:tcW w:w="5954" w:type="dxa"/>
          </w:tcPr>
          <w:p w:rsidR="004A2AEB" w:rsidRDefault="004A2AEB" w:rsidP="004A2AEB">
            <w:pPr>
              <w:tabs>
                <w:tab w:val="left" w:pos="1080"/>
              </w:tabs>
              <w:rPr>
                <w:rFonts w:ascii="Arial" w:hAnsi="Arial" w:cs="Arial"/>
                <w:sz w:val="24"/>
                <w:szCs w:val="24"/>
              </w:rPr>
            </w:pPr>
            <w:proofErr w:type="spellStart"/>
            <w:r w:rsidRPr="004A2AEB">
              <w:rPr>
                <w:rFonts w:ascii="Arial" w:hAnsi="Arial" w:cs="Arial"/>
                <w:sz w:val="24"/>
                <w:szCs w:val="24"/>
              </w:rPr>
              <w:t>Ixazomib</w:t>
            </w:r>
            <w:proofErr w:type="spellEnd"/>
            <w:r w:rsidRPr="004A2AEB">
              <w:rPr>
                <w:rFonts w:ascii="Arial" w:hAnsi="Arial" w:cs="Arial"/>
                <w:sz w:val="24"/>
                <w:szCs w:val="24"/>
              </w:rPr>
              <w:t xml:space="preserve"> with </w:t>
            </w:r>
            <w:proofErr w:type="spellStart"/>
            <w:r w:rsidRPr="004A2AEB">
              <w:rPr>
                <w:rFonts w:ascii="Arial" w:hAnsi="Arial" w:cs="Arial"/>
                <w:sz w:val="24"/>
                <w:szCs w:val="24"/>
              </w:rPr>
              <w:t>lenalidomide</w:t>
            </w:r>
            <w:proofErr w:type="spellEnd"/>
            <w:r w:rsidRPr="004A2AEB">
              <w:rPr>
                <w:rFonts w:ascii="Arial" w:hAnsi="Arial" w:cs="Arial"/>
                <w:sz w:val="24"/>
                <w:szCs w:val="24"/>
              </w:rPr>
              <w:t xml:space="preserve"> and dexamethasone for treating relapsed or refractory multiple myeloma. </w:t>
            </w:r>
          </w:p>
        </w:tc>
        <w:tc>
          <w:tcPr>
            <w:tcW w:w="1479" w:type="dxa"/>
          </w:tcPr>
          <w:p w:rsidR="004A2AEB" w:rsidRDefault="004A2AEB">
            <w:r w:rsidRPr="00DA7806">
              <w:rPr>
                <w:rFonts w:ascii="Arial" w:hAnsi="Arial" w:cs="Arial"/>
                <w:sz w:val="24"/>
                <w:szCs w:val="24"/>
              </w:rPr>
              <w:t>RED</w:t>
            </w:r>
          </w:p>
        </w:tc>
      </w:tr>
      <w:tr w:rsidR="004A2AEB" w:rsidTr="00A91CE4">
        <w:tc>
          <w:tcPr>
            <w:tcW w:w="1843" w:type="dxa"/>
          </w:tcPr>
          <w:p w:rsidR="004A2AEB" w:rsidRPr="00A91CE4" w:rsidRDefault="004A2AEB" w:rsidP="00A51211">
            <w:pPr>
              <w:pStyle w:val="ListParagraph"/>
              <w:tabs>
                <w:tab w:val="left" w:pos="1080"/>
              </w:tabs>
              <w:ind w:left="0"/>
              <w:rPr>
                <w:rFonts w:ascii="Arial" w:hAnsi="Arial" w:cs="Arial"/>
                <w:sz w:val="24"/>
                <w:szCs w:val="24"/>
              </w:rPr>
            </w:pPr>
            <w:r w:rsidRPr="00A91CE4">
              <w:rPr>
                <w:rFonts w:ascii="Arial" w:hAnsi="Arial" w:cs="Arial"/>
                <w:sz w:val="24"/>
                <w:szCs w:val="24"/>
              </w:rPr>
              <w:t xml:space="preserve">NICE </w:t>
            </w:r>
            <w:hyperlink r:id="rId12" w:history="1">
              <w:r w:rsidRPr="00A91CE4">
                <w:rPr>
                  <w:rStyle w:val="Hyperlink"/>
                  <w:rFonts w:ascii="Arial" w:hAnsi="Arial" w:cs="Arial"/>
                  <w:sz w:val="24"/>
                  <w:szCs w:val="24"/>
                </w:rPr>
                <w:t>TA507</w:t>
              </w:r>
            </w:hyperlink>
            <w:r w:rsidRPr="00A91CE4">
              <w:rPr>
                <w:rFonts w:ascii="Arial" w:hAnsi="Arial" w:cs="Arial"/>
                <w:sz w:val="24"/>
                <w:szCs w:val="24"/>
              </w:rPr>
              <w:t>:</w:t>
            </w:r>
          </w:p>
        </w:tc>
        <w:tc>
          <w:tcPr>
            <w:tcW w:w="5954" w:type="dxa"/>
          </w:tcPr>
          <w:p w:rsidR="004A2AEB" w:rsidRDefault="004A2AEB" w:rsidP="004A2AEB">
            <w:pPr>
              <w:tabs>
                <w:tab w:val="left" w:pos="1080"/>
              </w:tabs>
              <w:rPr>
                <w:rFonts w:ascii="Arial" w:hAnsi="Arial" w:cs="Arial"/>
                <w:sz w:val="24"/>
                <w:szCs w:val="24"/>
              </w:rPr>
            </w:pPr>
            <w:proofErr w:type="spellStart"/>
            <w:r w:rsidRPr="004A2AEB">
              <w:rPr>
                <w:rFonts w:ascii="Arial" w:hAnsi="Arial" w:cs="Arial"/>
                <w:sz w:val="24"/>
                <w:szCs w:val="24"/>
              </w:rPr>
              <w:t>Sofosbuvir</w:t>
            </w:r>
            <w:proofErr w:type="spellEnd"/>
            <w:r w:rsidRPr="004A2AEB">
              <w:rPr>
                <w:rFonts w:ascii="Arial" w:hAnsi="Arial" w:cs="Arial"/>
                <w:sz w:val="24"/>
                <w:szCs w:val="24"/>
              </w:rPr>
              <w:t>–</w:t>
            </w:r>
            <w:proofErr w:type="spellStart"/>
            <w:r w:rsidRPr="004A2AEB">
              <w:rPr>
                <w:rFonts w:ascii="Arial" w:hAnsi="Arial" w:cs="Arial"/>
                <w:sz w:val="24"/>
                <w:szCs w:val="24"/>
              </w:rPr>
              <w:t>velpatasvir</w:t>
            </w:r>
            <w:proofErr w:type="spellEnd"/>
            <w:r w:rsidRPr="004A2AEB">
              <w:rPr>
                <w:rFonts w:ascii="Arial" w:hAnsi="Arial" w:cs="Arial"/>
                <w:sz w:val="24"/>
                <w:szCs w:val="24"/>
              </w:rPr>
              <w:t>–</w:t>
            </w:r>
            <w:proofErr w:type="spellStart"/>
            <w:r w:rsidRPr="004A2AEB">
              <w:rPr>
                <w:rFonts w:ascii="Arial" w:hAnsi="Arial" w:cs="Arial"/>
                <w:sz w:val="24"/>
                <w:szCs w:val="24"/>
              </w:rPr>
              <w:t>voxilaprevir</w:t>
            </w:r>
            <w:proofErr w:type="spellEnd"/>
            <w:r w:rsidRPr="004A2AEB">
              <w:rPr>
                <w:rFonts w:ascii="Arial" w:hAnsi="Arial" w:cs="Arial"/>
                <w:sz w:val="24"/>
                <w:szCs w:val="24"/>
              </w:rPr>
              <w:t xml:space="preserve"> for treating chronic hepatitis C.</w:t>
            </w:r>
          </w:p>
        </w:tc>
        <w:tc>
          <w:tcPr>
            <w:tcW w:w="1479" w:type="dxa"/>
          </w:tcPr>
          <w:p w:rsidR="004A2AEB" w:rsidRDefault="004A2AEB">
            <w:r w:rsidRPr="00DA7806">
              <w:rPr>
                <w:rFonts w:ascii="Arial" w:hAnsi="Arial" w:cs="Arial"/>
                <w:sz w:val="24"/>
                <w:szCs w:val="24"/>
              </w:rPr>
              <w:t>RED</w:t>
            </w:r>
          </w:p>
        </w:tc>
      </w:tr>
      <w:tr w:rsidR="004A2AEB" w:rsidTr="00A91CE4">
        <w:tc>
          <w:tcPr>
            <w:tcW w:w="1843" w:type="dxa"/>
          </w:tcPr>
          <w:p w:rsidR="004A2AEB" w:rsidRPr="00A91CE4" w:rsidRDefault="004A2AEB" w:rsidP="00A51211">
            <w:pPr>
              <w:pStyle w:val="ListParagraph"/>
              <w:tabs>
                <w:tab w:val="left" w:pos="1080"/>
              </w:tabs>
              <w:ind w:left="0"/>
              <w:rPr>
                <w:rFonts w:ascii="Arial" w:hAnsi="Arial" w:cs="Arial"/>
                <w:sz w:val="24"/>
                <w:szCs w:val="24"/>
              </w:rPr>
            </w:pPr>
            <w:r w:rsidRPr="00A91CE4">
              <w:rPr>
                <w:rFonts w:ascii="Arial" w:hAnsi="Arial" w:cs="Arial"/>
                <w:sz w:val="24"/>
                <w:szCs w:val="24"/>
              </w:rPr>
              <w:t xml:space="preserve">NICE </w:t>
            </w:r>
            <w:hyperlink r:id="rId13" w:history="1">
              <w:r w:rsidRPr="00A91CE4">
                <w:rPr>
                  <w:rStyle w:val="Hyperlink"/>
                  <w:rFonts w:ascii="Arial" w:hAnsi="Arial" w:cs="Arial"/>
                  <w:sz w:val="24"/>
                  <w:szCs w:val="24"/>
                </w:rPr>
                <w:t>TA511</w:t>
              </w:r>
            </w:hyperlink>
          </w:p>
        </w:tc>
        <w:tc>
          <w:tcPr>
            <w:tcW w:w="5954" w:type="dxa"/>
          </w:tcPr>
          <w:p w:rsidR="004A2AEB" w:rsidRDefault="004A2AEB" w:rsidP="00A51211">
            <w:pPr>
              <w:pStyle w:val="ListParagraph"/>
              <w:tabs>
                <w:tab w:val="left" w:pos="1080"/>
              </w:tabs>
              <w:ind w:left="0"/>
              <w:rPr>
                <w:rFonts w:ascii="Arial" w:hAnsi="Arial" w:cs="Arial"/>
                <w:sz w:val="24"/>
                <w:szCs w:val="24"/>
              </w:rPr>
            </w:pPr>
            <w:proofErr w:type="spellStart"/>
            <w:r w:rsidRPr="00CB3D5C">
              <w:rPr>
                <w:rFonts w:ascii="Arial" w:hAnsi="Arial" w:cs="Arial"/>
                <w:sz w:val="24"/>
                <w:szCs w:val="24"/>
              </w:rPr>
              <w:t>Brodalumab</w:t>
            </w:r>
            <w:proofErr w:type="spellEnd"/>
            <w:r w:rsidRPr="00CB3D5C">
              <w:rPr>
                <w:rFonts w:ascii="Arial" w:hAnsi="Arial" w:cs="Arial"/>
                <w:sz w:val="24"/>
                <w:szCs w:val="24"/>
              </w:rPr>
              <w:t xml:space="preserve"> for treating moderate to severe plaque psoriasis</w:t>
            </w:r>
          </w:p>
        </w:tc>
        <w:tc>
          <w:tcPr>
            <w:tcW w:w="1479" w:type="dxa"/>
          </w:tcPr>
          <w:p w:rsidR="004A2AEB" w:rsidRDefault="004A2AEB">
            <w:r w:rsidRPr="00DA7806">
              <w:rPr>
                <w:rFonts w:ascii="Arial" w:hAnsi="Arial" w:cs="Arial"/>
                <w:sz w:val="24"/>
                <w:szCs w:val="24"/>
              </w:rPr>
              <w:t>RED</w:t>
            </w:r>
          </w:p>
        </w:tc>
      </w:tr>
      <w:tr w:rsidR="004A2AEB" w:rsidTr="00A91CE4">
        <w:tc>
          <w:tcPr>
            <w:tcW w:w="1843" w:type="dxa"/>
          </w:tcPr>
          <w:p w:rsidR="004A2AEB" w:rsidRPr="00A91CE4" w:rsidRDefault="004A2AEB" w:rsidP="00A51211">
            <w:pPr>
              <w:pStyle w:val="ListParagraph"/>
              <w:tabs>
                <w:tab w:val="left" w:pos="1080"/>
              </w:tabs>
              <w:ind w:left="0"/>
              <w:rPr>
                <w:rFonts w:ascii="Arial" w:hAnsi="Arial" w:cs="Arial"/>
                <w:sz w:val="24"/>
                <w:szCs w:val="24"/>
              </w:rPr>
            </w:pPr>
            <w:r w:rsidRPr="00A91CE4">
              <w:rPr>
                <w:rFonts w:ascii="Arial" w:hAnsi="Arial" w:cs="Arial"/>
                <w:sz w:val="24"/>
                <w:szCs w:val="24"/>
              </w:rPr>
              <w:t xml:space="preserve">NICE </w:t>
            </w:r>
            <w:hyperlink r:id="rId14" w:history="1">
              <w:r w:rsidRPr="00A91CE4">
                <w:rPr>
                  <w:rStyle w:val="Hyperlink"/>
                  <w:rFonts w:ascii="Arial" w:hAnsi="Arial" w:cs="Arial"/>
                  <w:sz w:val="24"/>
                  <w:szCs w:val="24"/>
                </w:rPr>
                <w:t>TA512</w:t>
              </w:r>
            </w:hyperlink>
          </w:p>
        </w:tc>
        <w:tc>
          <w:tcPr>
            <w:tcW w:w="5954" w:type="dxa"/>
          </w:tcPr>
          <w:p w:rsidR="004A2AEB" w:rsidRDefault="004A2AEB" w:rsidP="00A51211">
            <w:pPr>
              <w:pStyle w:val="ListParagraph"/>
              <w:tabs>
                <w:tab w:val="left" w:pos="1080"/>
              </w:tabs>
              <w:ind w:left="0"/>
              <w:rPr>
                <w:rFonts w:ascii="Arial" w:hAnsi="Arial" w:cs="Arial"/>
                <w:sz w:val="24"/>
                <w:szCs w:val="24"/>
              </w:rPr>
            </w:pPr>
            <w:proofErr w:type="spellStart"/>
            <w:r w:rsidRPr="00CB3D5C">
              <w:rPr>
                <w:rFonts w:ascii="Arial" w:hAnsi="Arial" w:cs="Arial"/>
                <w:sz w:val="24"/>
                <w:szCs w:val="24"/>
              </w:rPr>
              <w:t>Tivozanib</w:t>
            </w:r>
            <w:proofErr w:type="spellEnd"/>
            <w:r w:rsidRPr="00CB3D5C">
              <w:rPr>
                <w:rFonts w:ascii="Arial" w:hAnsi="Arial" w:cs="Arial"/>
                <w:sz w:val="24"/>
                <w:szCs w:val="24"/>
              </w:rPr>
              <w:t xml:space="preserve"> for treating advanced renal cell carcinoma</w:t>
            </w:r>
          </w:p>
        </w:tc>
        <w:tc>
          <w:tcPr>
            <w:tcW w:w="1479" w:type="dxa"/>
          </w:tcPr>
          <w:p w:rsidR="004A2AEB" w:rsidRDefault="004A2AEB">
            <w:r w:rsidRPr="00DA7806">
              <w:rPr>
                <w:rFonts w:ascii="Arial" w:hAnsi="Arial" w:cs="Arial"/>
                <w:sz w:val="24"/>
                <w:szCs w:val="24"/>
              </w:rPr>
              <w:t>RED</w:t>
            </w:r>
          </w:p>
        </w:tc>
      </w:tr>
      <w:tr w:rsidR="004A2AEB" w:rsidTr="00A91CE4">
        <w:tc>
          <w:tcPr>
            <w:tcW w:w="1843" w:type="dxa"/>
          </w:tcPr>
          <w:p w:rsidR="004A2AEB" w:rsidRPr="00A91CE4" w:rsidRDefault="004A2AEB" w:rsidP="00A51211">
            <w:pPr>
              <w:pStyle w:val="ListParagraph"/>
              <w:tabs>
                <w:tab w:val="left" w:pos="1080"/>
              </w:tabs>
              <w:ind w:left="0"/>
              <w:rPr>
                <w:rFonts w:ascii="Arial" w:hAnsi="Arial" w:cs="Arial"/>
                <w:sz w:val="24"/>
                <w:szCs w:val="24"/>
              </w:rPr>
            </w:pPr>
            <w:r w:rsidRPr="00A91CE4">
              <w:rPr>
                <w:rFonts w:ascii="Arial" w:hAnsi="Arial" w:cs="Arial"/>
                <w:sz w:val="24"/>
                <w:szCs w:val="24"/>
              </w:rPr>
              <w:t xml:space="preserve">NICE </w:t>
            </w:r>
            <w:hyperlink r:id="rId15" w:history="1">
              <w:r w:rsidRPr="00A91CE4">
                <w:rPr>
                  <w:rStyle w:val="Hyperlink"/>
                  <w:rFonts w:ascii="Arial" w:hAnsi="Arial" w:cs="Arial"/>
                  <w:sz w:val="24"/>
                  <w:szCs w:val="24"/>
                </w:rPr>
                <w:t>TA509</w:t>
              </w:r>
            </w:hyperlink>
          </w:p>
        </w:tc>
        <w:tc>
          <w:tcPr>
            <w:tcW w:w="5954" w:type="dxa"/>
          </w:tcPr>
          <w:p w:rsidR="004A2AEB" w:rsidRDefault="004A2AEB" w:rsidP="00A51211">
            <w:pPr>
              <w:pStyle w:val="ListParagraph"/>
              <w:tabs>
                <w:tab w:val="left" w:pos="1080"/>
              </w:tabs>
              <w:ind w:left="0"/>
              <w:rPr>
                <w:rFonts w:ascii="Arial" w:hAnsi="Arial" w:cs="Arial"/>
                <w:sz w:val="24"/>
                <w:szCs w:val="24"/>
              </w:rPr>
            </w:pPr>
            <w:proofErr w:type="spellStart"/>
            <w:r w:rsidRPr="00CB3D5C">
              <w:rPr>
                <w:rFonts w:ascii="Arial" w:hAnsi="Arial" w:cs="Arial"/>
                <w:sz w:val="24"/>
                <w:szCs w:val="24"/>
              </w:rPr>
              <w:t>Pertuzumab</w:t>
            </w:r>
            <w:proofErr w:type="spellEnd"/>
            <w:r w:rsidRPr="00CB3D5C">
              <w:rPr>
                <w:rFonts w:ascii="Arial" w:hAnsi="Arial" w:cs="Arial"/>
                <w:sz w:val="24"/>
                <w:szCs w:val="24"/>
              </w:rPr>
              <w:t xml:space="preserve"> with </w:t>
            </w:r>
            <w:proofErr w:type="spellStart"/>
            <w:r w:rsidRPr="00CB3D5C">
              <w:rPr>
                <w:rFonts w:ascii="Arial" w:hAnsi="Arial" w:cs="Arial"/>
                <w:sz w:val="24"/>
                <w:szCs w:val="24"/>
              </w:rPr>
              <w:t>trastuzumab</w:t>
            </w:r>
            <w:proofErr w:type="spellEnd"/>
            <w:r w:rsidRPr="00CB3D5C">
              <w:rPr>
                <w:rFonts w:ascii="Arial" w:hAnsi="Arial" w:cs="Arial"/>
                <w:sz w:val="24"/>
                <w:szCs w:val="24"/>
              </w:rPr>
              <w:t xml:space="preserve"> and docetaxel for treating HER2-positive breast cancer.</w:t>
            </w:r>
          </w:p>
        </w:tc>
        <w:tc>
          <w:tcPr>
            <w:tcW w:w="1479" w:type="dxa"/>
          </w:tcPr>
          <w:p w:rsidR="004A2AEB" w:rsidRDefault="004A2AEB">
            <w:r w:rsidRPr="00DA7806">
              <w:rPr>
                <w:rFonts w:ascii="Arial" w:hAnsi="Arial" w:cs="Arial"/>
                <w:sz w:val="24"/>
                <w:szCs w:val="24"/>
              </w:rPr>
              <w:t>RED</w:t>
            </w:r>
          </w:p>
        </w:tc>
      </w:tr>
      <w:tr w:rsidR="004A2AEB" w:rsidTr="00A91CE4">
        <w:tc>
          <w:tcPr>
            <w:tcW w:w="1843" w:type="dxa"/>
          </w:tcPr>
          <w:p w:rsidR="004A2AEB" w:rsidRPr="00A91CE4" w:rsidRDefault="004A2AEB" w:rsidP="00A51211">
            <w:pPr>
              <w:pStyle w:val="ListParagraph"/>
              <w:tabs>
                <w:tab w:val="left" w:pos="1080"/>
              </w:tabs>
              <w:ind w:left="0"/>
              <w:rPr>
                <w:rFonts w:ascii="Arial" w:hAnsi="Arial" w:cs="Arial"/>
                <w:sz w:val="24"/>
                <w:szCs w:val="24"/>
              </w:rPr>
            </w:pPr>
            <w:r w:rsidRPr="00A91CE4">
              <w:rPr>
                <w:rFonts w:ascii="Arial" w:hAnsi="Arial" w:cs="Arial"/>
                <w:sz w:val="24"/>
                <w:szCs w:val="24"/>
              </w:rPr>
              <w:t xml:space="preserve">NICE </w:t>
            </w:r>
            <w:hyperlink r:id="rId16" w:history="1">
              <w:r w:rsidRPr="00A91CE4">
                <w:rPr>
                  <w:rStyle w:val="Hyperlink"/>
                  <w:rFonts w:ascii="Arial" w:hAnsi="Arial" w:cs="Arial"/>
                  <w:sz w:val="24"/>
                  <w:szCs w:val="24"/>
                </w:rPr>
                <w:t>TA510</w:t>
              </w:r>
            </w:hyperlink>
          </w:p>
        </w:tc>
        <w:tc>
          <w:tcPr>
            <w:tcW w:w="5954" w:type="dxa"/>
          </w:tcPr>
          <w:p w:rsidR="004A2AEB" w:rsidRDefault="004A2AEB" w:rsidP="004A2AEB">
            <w:pPr>
              <w:tabs>
                <w:tab w:val="left" w:pos="1080"/>
              </w:tabs>
              <w:rPr>
                <w:rFonts w:ascii="Arial" w:hAnsi="Arial" w:cs="Arial"/>
                <w:sz w:val="24"/>
                <w:szCs w:val="24"/>
              </w:rPr>
            </w:pPr>
            <w:proofErr w:type="spellStart"/>
            <w:r w:rsidRPr="004A2AEB">
              <w:rPr>
                <w:rFonts w:ascii="Arial" w:hAnsi="Arial" w:cs="Arial"/>
                <w:sz w:val="24"/>
                <w:szCs w:val="24"/>
              </w:rPr>
              <w:t>Daratumumab</w:t>
            </w:r>
            <w:proofErr w:type="spellEnd"/>
            <w:r w:rsidRPr="004A2AEB">
              <w:rPr>
                <w:rFonts w:ascii="Arial" w:hAnsi="Arial" w:cs="Arial"/>
                <w:sz w:val="24"/>
                <w:szCs w:val="24"/>
              </w:rPr>
              <w:t xml:space="preserve"> monotherapy for treating relapsed and refractory multiple myeloma. </w:t>
            </w:r>
          </w:p>
        </w:tc>
        <w:tc>
          <w:tcPr>
            <w:tcW w:w="1479" w:type="dxa"/>
          </w:tcPr>
          <w:p w:rsidR="004A2AEB" w:rsidRDefault="004A2AEB">
            <w:r w:rsidRPr="00DA7806">
              <w:rPr>
                <w:rFonts w:ascii="Arial" w:hAnsi="Arial" w:cs="Arial"/>
                <w:sz w:val="24"/>
                <w:szCs w:val="24"/>
              </w:rPr>
              <w:t>RED</w:t>
            </w:r>
          </w:p>
        </w:tc>
      </w:tr>
      <w:tr w:rsidR="00A91CE4" w:rsidTr="00A91CE4">
        <w:tc>
          <w:tcPr>
            <w:tcW w:w="1843" w:type="dxa"/>
          </w:tcPr>
          <w:p w:rsidR="00A91CE4" w:rsidRPr="00A91CE4" w:rsidRDefault="00A91CE4" w:rsidP="00A51211">
            <w:pPr>
              <w:pStyle w:val="ListParagraph"/>
              <w:tabs>
                <w:tab w:val="left" w:pos="1080"/>
              </w:tabs>
              <w:ind w:left="0"/>
              <w:rPr>
                <w:rFonts w:ascii="Arial" w:hAnsi="Arial" w:cs="Arial"/>
                <w:sz w:val="24"/>
                <w:szCs w:val="24"/>
              </w:rPr>
            </w:pPr>
            <w:r w:rsidRPr="00A91CE4">
              <w:rPr>
                <w:rFonts w:ascii="Arial" w:hAnsi="Arial" w:cs="Arial"/>
                <w:sz w:val="24"/>
                <w:szCs w:val="24"/>
              </w:rPr>
              <w:t xml:space="preserve">NICE </w:t>
            </w:r>
            <w:hyperlink r:id="rId17" w:history="1">
              <w:r w:rsidRPr="00A91CE4">
                <w:rPr>
                  <w:rStyle w:val="Hyperlink"/>
                  <w:rFonts w:ascii="Arial" w:hAnsi="Arial" w:cs="Arial"/>
                  <w:sz w:val="24"/>
                  <w:szCs w:val="24"/>
                </w:rPr>
                <w:t>TA513</w:t>
              </w:r>
            </w:hyperlink>
          </w:p>
        </w:tc>
        <w:tc>
          <w:tcPr>
            <w:tcW w:w="5954" w:type="dxa"/>
          </w:tcPr>
          <w:p w:rsidR="00A91CE4" w:rsidRPr="004A2AEB" w:rsidRDefault="00A91CE4" w:rsidP="004A2AEB">
            <w:pPr>
              <w:tabs>
                <w:tab w:val="left" w:pos="1080"/>
              </w:tabs>
              <w:rPr>
                <w:rFonts w:ascii="Arial" w:hAnsi="Arial" w:cs="Arial"/>
                <w:sz w:val="24"/>
                <w:szCs w:val="24"/>
              </w:rPr>
            </w:pPr>
            <w:proofErr w:type="spellStart"/>
            <w:r w:rsidRPr="00CB3D5C">
              <w:rPr>
                <w:rFonts w:ascii="Arial" w:hAnsi="Arial" w:cs="Arial"/>
                <w:sz w:val="24"/>
                <w:szCs w:val="24"/>
              </w:rPr>
              <w:t>Obinutuzumab</w:t>
            </w:r>
            <w:proofErr w:type="spellEnd"/>
            <w:r w:rsidRPr="00CB3D5C">
              <w:rPr>
                <w:rFonts w:ascii="Arial" w:hAnsi="Arial" w:cs="Arial"/>
                <w:sz w:val="24"/>
                <w:szCs w:val="24"/>
              </w:rPr>
              <w:t xml:space="preserve"> for untreated advanced follicular lymphoma</w:t>
            </w:r>
          </w:p>
        </w:tc>
        <w:tc>
          <w:tcPr>
            <w:tcW w:w="1479" w:type="dxa"/>
          </w:tcPr>
          <w:p w:rsidR="00A91CE4" w:rsidRDefault="00A91CE4">
            <w:r w:rsidRPr="00FD1F3A">
              <w:rPr>
                <w:rFonts w:ascii="Arial" w:hAnsi="Arial" w:cs="Arial"/>
                <w:sz w:val="24"/>
                <w:szCs w:val="24"/>
              </w:rPr>
              <w:t>RED</w:t>
            </w:r>
          </w:p>
        </w:tc>
      </w:tr>
      <w:tr w:rsidR="00A91CE4" w:rsidTr="00A91CE4">
        <w:tc>
          <w:tcPr>
            <w:tcW w:w="1843" w:type="dxa"/>
          </w:tcPr>
          <w:p w:rsidR="00A91CE4" w:rsidRPr="00A91CE4" w:rsidRDefault="00A91CE4" w:rsidP="00A51211">
            <w:pPr>
              <w:pStyle w:val="ListParagraph"/>
              <w:tabs>
                <w:tab w:val="left" w:pos="1080"/>
              </w:tabs>
              <w:ind w:left="0"/>
              <w:rPr>
                <w:rFonts w:ascii="Arial" w:hAnsi="Arial" w:cs="Arial"/>
                <w:sz w:val="24"/>
                <w:szCs w:val="24"/>
              </w:rPr>
            </w:pPr>
            <w:r w:rsidRPr="00A91CE4">
              <w:rPr>
                <w:rFonts w:ascii="Arial" w:hAnsi="Arial" w:cs="Arial"/>
                <w:sz w:val="24"/>
                <w:szCs w:val="24"/>
              </w:rPr>
              <w:t xml:space="preserve">NICE </w:t>
            </w:r>
            <w:hyperlink r:id="rId18" w:history="1">
              <w:r w:rsidRPr="00A91CE4">
                <w:rPr>
                  <w:rStyle w:val="Hyperlink"/>
                  <w:rFonts w:ascii="Arial" w:hAnsi="Arial" w:cs="Arial"/>
                  <w:sz w:val="24"/>
                  <w:szCs w:val="24"/>
                </w:rPr>
                <w:t>TA516</w:t>
              </w:r>
            </w:hyperlink>
          </w:p>
        </w:tc>
        <w:tc>
          <w:tcPr>
            <w:tcW w:w="5954" w:type="dxa"/>
          </w:tcPr>
          <w:p w:rsidR="00A91CE4" w:rsidRPr="00CB3D5C" w:rsidRDefault="00A91CE4" w:rsidP="004A2AEB">
            <w:pPr>
              <w:tabs>
                <w:tab w:val="left" w:pos="1080"/>
              </w:tabs>
              <w:rPr>
                <w:rFonts w:ascii="Arial" w:hAnsi="Arial" w:cs="Arial"/>
                <w:sz w:val="24"/>
                <w:szCs w:val="24"/>
              </w:rPr>
            </w:pPr>
            <w:proofErr w:type="spellStart"/>
            <w:r w:rsidRPr="00CB3D5C">
              <w:rPr>
                <w:rFonts w:ascii="Arial" w:hAnsi="Arial" w:cs="Arial"/>
                <w:sz w:val="24"/>
                <w:szCs w:val="24"/>
              </w:rPr>
              <w:t>Cabozantinib</w:t>
            </w:r>
            <w:proofErr w:type="spellEnd"/>
            <w:r w:rsidRPr="00CB3D5C">
              <w:rPr>
                <w:rFonts w:ascii="Arial" w:hAnsi="Arial" w:cs="Arial"/>
                <w:sz w:val="24"/>
                <w:szCs w:val="24"/>
              </w:rPr>
              <w:t xml:space="preserve"> for treating medullary thyroid cancer.</w:t>
            </w:r>
          </w:p>
        </w:tc>
        <w:tc>
          <w:tcPr>
            <w:tcW w:w="1479" w:type="dxa"/>
          </w:tcPr>
          <w:p w:rsidR="00A91CE4" w:rsidRDefault="00A91CE4">
            <w:r w:rsidRPr="00FD1F3A">
              <w:rPr>
                <w:rFonts w:ascii="Arial" w:hAnsi="Arial" w:cs="Arial"/>
                <w:sz w:val="24"/>
                <w:szCs w:val="24"/>
              </w:rPr>
              <w:t>RED</w:t>
            </w:r>
          </w:p>
        </w:tc>
      </w:tr>
    </w:tbl>
    <w:p w:rsidR="00C707A8" w:rsidRPr="00C707A8" w:rsidRDefault="00C707A8" w:rsidP="00C707A8">
      <w:pPr>
        <w:tabs>
          <w:tab w:val="left" w:pos="1080"/>
        </w:tabs>
        <w:rPr>
          <w:rFonts w:ascii="Arial" w:hAnsi="Arial" w:cs="Arial"/>
          <w:sz w:val="24"/>
          <w:szCs w:val="24"/>
          <w:u w:val="single"/>
        </w:rPr>
      </w:pPr>
    </w:p>
    <w:p w:rsidR="00967B8E" w:rsidRPr="00540DFD" w:rsidRDefault="00967B8E" w:rsidP="00540DFD">
      <w:pPr>
        <w:tabs>
          <w:tab w:val="left" w:pos="1080"/>
        </w:tabs>
        <w:rPr>
          <w:rFonts w:ascii="Arial" w:hAnsi="Arial" w:cs="Arial"/>
          <w:sz w:val="24"/>
          <w:szCs w:val="24"/>
          <w:u w:val="single"/>
        </w:rPr>
      </w:pPr>
      <w:r w:rsidRPr="00C707A8">
        <w:rPr>
          <w:rFonts w:ascii="Arial" w:hAnsi="Arial" w:cs="Arial"/>
          <w:sz w:val="24"/>
          <w:szCs w:val="24"/>
          <w:u w:val="single"/>
        </w:rPr>
        <w:lastRenderedPageBreak/>
        <w:t xml:space="preserve">Highly Specialised Technology Appraisal </w:t>
      </w:r>
      <w:r w:rsidR="00C707A8">
        <w:rPr>
          <w:rFonts w:ascii="Arial" w:hAnsi="Arial" w:cs="Arial"/>
          <w:sz w:val="24"/>
          <w:szCs w:val="24"/>
          <w:u w:val="single"/>
        </w:rPr>
        <w:br/>
      </w:r>
      <w:hyperlink r:id="rId19" w:history="1">
        <w:r w:rsidRPr="00C707A8">
          <w:rPr>
            <w:rStyle w:val="Hyperlink"/>
            <w:rFonts w:ascii="Arial" w:hAnsi="Arial" w:cs="Arial"/>
            <w:sz w:val="24"/>
            <w:szCs w:val="24"/>
          </w:rPr>
          <w:t>HST7</w:t>
        </w:r>
      </w:hyperlink>
      <w:r w:rsidRPr="00C707A8">
        <w:rPr>
          <w:rFonts w:ascii="Arial" w:hAnsi="Arial" w:cs="Arial"/>
          <w:sz w:val="24"/>
          <w:szCs w:val="24"/>
        </w:rPr>
        <w:t xml:space="preserve">: </w:t>
      </w:r>
      <w:r w:rsidR="007C3C96" w:rsidRPr="00C707A8">
        <w:rPr>
          <w:rFonts w:ascii="Arial" w:hAnsi="Arial" w:cs="Arial"/>
          <w:sz w:val="24"/>
          <w:szCs w:val="24"/>
        </w:rPr>
        <w:t xml:space="preserve"> </w:t>
      </w:r>
      <w:proofErr w:type="spellStart"/>
      <w:r w:rsidRPr="00C707A8">
        <w:rPr>
          <w:rFonts w:ascii="Arial" w:hAnsi="Arial" w:cs="Arial"/>
          <w:sz w:val="24"/>
          <w:szCs w:val="24"/>
        </w:rPr>
        <w:t>Strimvelis</w:t>
      </w:r>
      <w:proofErr w:type="spellEnd"/>
      <w:r w:rsidRPr="00C707A8">
        <w:rPr>
          <w:rFonts w:ascii="Arial" w:hAnsi="Arial" w:cs="Arial"/>
          <w:sz w:val="24"/>
          <w:szCs w:val="24"/>
        </w:rPr>
        <w:t xml:space="preserve"> for treating adenosine deaminase deficiency–severe combined immunodeficiency</w:t>
      </w:r>
      <w:r w:rsidR="003A4D43" w:rsidRPr="00C707A8">
        <w:rPr>
          <w:rFonts w:ascii="Arial" w:hAnsi="Arial" w:cs="Arial"/>
          <w:sz w:val="24"/>
          <w:szCs w:val="24"/>
        </w:rPr>
        <w:t xml:space="preserve"> .RAG </w:t>
      </w:r>
      <w:proofErr w:type="gramStart"/>
      <w:r w:rsidR="003A4D43" w:rsidRPr="00C707A8">
        <w:rPr>
          <w:rFonts w:ascii="Arial" w:hAnsi="Arial" w:cs="Arial"/>
          <w:sz w:val="24"/>
          <w:szCs w:val="24"/>
        </w:rPr>
        <w:t>Rating :</w:t>
      </w:r>
      <w:r w:rsidR="005C6D25" w:rsidRPr="00C707A8">
        <w:rPr>
          <w:rFonts w:ascii="Arial" w:hAnsi="Arial" w:cs="Arial"/>
          <w:sz w:val="24"/>
          <w:szCs w:val="24"/>
        </w:rPr>
        <w:t>RED</w:t>
      </w:r>
      <w:proofErr w:type="gramEnd"/>
      <w:r w:rsidR="005C6D25" w:rsidRPr="00C707A8">
        <w:rPr>
          <w:rFonts w:ascii="Arial" w:hAnsi="Arial" w:cs="Arial"/>
          <w:sz w:val="24"/>
          <w:szCs w:val="24"/>
        </w:rPr>
        <w:t xml:space="preserve"> (Hospital only</w:t>
      </w:r>
      <w:r w:rsidR="002C64EC" w:rsidRPr="00C707A8">
        <w:rPr>
          <w:rFonts w:ascii="Arial" w:hAnsi="Arial" w:cs="Arial"/>
          <w:sz w:val="24"/>
          <w:szCs w:val="24"/>
        </w:rPr>
        <w:t>)</w:t>
      </w:r>
    </w:p>
    <w:p w:rsidR="00744D1F" w:rsidRPr="001060DD" w:rsidRDefault="001060DD" w:rsidP="00C707A8">
      <w:pPr>
        <w:tabs>
          <w:tab w:val="left" w:pos="1080"/>
        </w:tabs>
        <w:rPr>
          <w:rFonts w:ascii="Arial" w:hAnsi="Arial" w:cs="Arial"/>
          <w:b/>
          <w:sz w:val="40"/>
          <w:szCs w:val="40"/>
          <w:u w:val="single"/>
        </w:rPr>
      </w:pPr>
      <w:r w:rsidRPr="001060DD">
        <w:rPr>
          <w:rFonts w:ascii="Arial" w:hAnsi="Arial" w:cs="Arial"/>
          <w:b/>
          <w:sz w:val="40"/>
          <w:szCs w:val="40"/>
          <w:u w:val="single"/>
        </w:rPr>
        <w:t xml:space="preserve">3) </w:t>
      </w:r>
      <w:r w:rsidR="00744D1F" w:rsidRPr="001060DD">
        <w:rPr>
          <w:rFonts w:ascii="Arial" w:hAnsi="Arial" w:cs="Arial"/>
          <w:b/>
          <w:sz w:val="40"/>
          <w:szCs w:val="40"/>
          <w:u w:val="single"/>
        </w:rPr>
        <w:t xml:space="preserve">Items Approved at APC </w:t>
      </w:r>
    </w:p>
    <w:p w:rsidR="00ED38F6" w:rsidRDefault="00ED38F6" w:rsidP="00744D1F">
      <w:pPr>
        <w:pStyle w:val="ListParagraph"/>
        <w:tabs>
          <w:tab w:val="left" w:pos="1080"/>
        </w:tabs>
        <w:ind w:left="142" w:firstLine="578"/>
        <w:rPr>
          <w:rFonts w:ascii="Arial" w:hAnsi="Arial" w:cs="Arial"/>
          <w:sz w:val="24"/>
          <w:szCs w:val="24"/>
        </w:rPr>
      </w:pPr>
    </w:p>
    <w:p w:rsidR="00744D1F" w:rsidRPr="000C695F" w:rsidRDefault="00744D1F" w:rsidP="00C707A8">
      <w:pPr>
        <w:pStyle w:val="ListParagraph"/>
        <w:numPr>
          <w:ilvl w:val="0"/>
          <w:numId w:val="4"/>
        </w:numPr>
        <w:tabs>
          <w:tab w:val="left" w:pos="1080"/>
        </w:tabs>
        <w:rPr>
          <w:rFonts w:cs="Arial"/>
          <w:sz w:val="36"/>
          <w:szCs w:val="36"/>
          <w:u w:val="single"/>
        </w:rPr>
      </w:pPr>
      <w:r w:rsidRPr="000C695F">
        <w:rPr>
          <w:rFonts w:cs="Arial"/>
          <w:sz w:val="36"/>
          <w:szCs w:val="36"/>
          <w:u w:val="single"/>
        </w:rPr>
        <w:t xml:space="preserve">Patient referral Information leaflet </w:t>
      </w:r>
    </w:p>
    <w:p w:rsidR="001060DD" w:rsidRPr="000C695F" w:rsidRDefault="00744D1F" w:rsidP="000C695F">
      <w:pPr>
        <w:pStyle w:val="ListParagraph"/>
        <w:ind w:left="1440"/>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7pt;height:44.05pt" o:ole="">
            <v:imagedata r:id="rId20" o:title=""/>
          </v:shape>
          <o:OLEObject Type="Embed" ProgID="AcroExch.Document.DC" ShapeID="_x0000_i1025" DrawAspect="Icon" ObjectID="_1591781823" r:id="rId21"/>
        </w:object>
      </w:r>
    </w:p>
    <w:p w:rsidR="00744D1F" w:rsidRPr="000C695F" w:rsidRDefault="00744D1F" w:rsidP="00C707A8">
      <w:pPr>
        <w:pStyle w:val="ListParagraph"/>
        <w:numPr>
          <w:ilvl w:val="0"/>
          <w:numId w:val="4"/>
        </w:numPr>
        <w:rPr>
          <w:rFonts w:cs="Arial"/>
          <w:bCs/>
          <w:sz w:val="36"/>
          <w:szCs w:val="36"/>
        </w:rPr>
      </w:pPr>
      <w:r w:rsidRPr="000C695F">
        <w:rPr>
          <w:rFonts w:cs="Arial"/>
          <w:bCs/>
          <w:sz w:val="36"/>
          <w:szCs w:val="36"/>
          <w:u w:val="single"/>
        </w:rPr>
        <w:t>Policy for the introduction, management and use of Biosimilar medicinal products</w:t>
      </w:r>
    </w:p>
    <w:p w:rsidR="001060DD" w:rsidRPr="001060DD" w:rsidRDefault="00744D1F" w:rsidP="001060DD">
      <w:pPr>
        <w:pStyle w:val="ListParagraph"/>
        <w:ind w:left="1440"/>
        <w:rPr>
          <w:rFonts w:cs="Arial"/>
          <w:sz w:val="24"/>
          <w:szCs w:val="24"/>
        </w:rPr>
      </w:pPr>
      <w:r>
        <w:object w:dxaOrig="1551" w:dyaOrig="1004">
          <v:shape id="_x0000_i1026" type="#_x0000_t75" style="width:77.35pt;height:50.5pt" o:ole="">
            <v:imagedata r:id="rId22" o:title=""/>
          </v:shape>
          <o:OLEObject Type="Embed" ProgID="Word.Document.8" ShapeID="_x0000_i1026" DrawAspect="Icon" ObjectID="_1591781824" r:id="rId23">
            <o:FieldCodes>\s</o:FieldCodes>
          </o:OLEObject>
        </w:object>
      </w:r>
    </w:p>
    <w:p w:rsidR="00171853" w:rsidRPr="000C695F" w:rsidRDefault="00744D1F" w:rsidP="000C695F">
      <w:pPr>
        <w:pStyle w:val="ListParagraph"/>
        <w:numPr>
          <w:ilvl w:val="0"/>
          <w:numId w:val="4"/>
        </w:numPr>
        <w:rPr>
          <w:rFonts w:cs="Arial"/>
          <w:sz w:val="24"/>
          <w:szCs w:val="24"/>
        </w:rPr>
      </w:pPr>
      <w:r w:rsidRPr="000C695F">
        <w:rPr>
          <w:rFonts w:cs="Arial"/>
          <w:sz w:val="36"/>
          <w:szCs w:val="36"/>
          <w:u w:val="single"/>
        </w:rPr>
        <w:t>Pain &amp; Symptom Management Guidance in the last days of life</w:t>
      </w:r>
      <w:r w:rsidRPr="000C695F">
        <w:rPr>
          <w:rFonts w:cs="Arial"/>
          <w:sz w:val="24"/>
          <w:szCs w:val="24"/>
        </w:rPr>
        <w:br/>
      </w:r>
      <w:hyperlink r:id="rId24" w:history="1">
        <w:r w:rsidRPr="000C695F">
          <w:rPr>
            <w:rStyle w:val="Hyperlink"/>
            <w:rFonts w:cs="Arial"/>
            <w:sz w:val="24"/>
            <w:szCs w:val="24"/>
          </w:rPr>
          <w:t>http://www.northernlincolnshireapc.nhs.uk/wp-content/uploads/2018/06/Pain-and-Symptom-Management-Guidance-in-the-Last-Days-of-Life-DCM029-1.pdf</w:t>
        </w:r>
      </w:hyperlink>
    </w:p>
    <w:p w:rsidR="00744D1F" w:rsidRPr="001060DD" w:rsidRDefault="001060DD" w:rsidP="00744D1F">
      <w:pPr>
        <w:tabs>
          <w:tab w:val="left" w:pos="1080"/>
        </w:tabs>
        <w:rPr>
          <w:b/>
          <w:sz w:val="40"/>
          <w:szCs w:val="40"/>
          <w:u w:val="single"/>
        </w:rPr>
      </w:pPr>
      <w:proofErr w:type="gramStart"/>
      <w:r w:rsidRPr="001060DD">
        <w:rPr>
          <w:b/>
          <w:sz w:val="40"/>
          <w:szCs w:val="40"/>
          <w:u w:val="single"/>
        </w:rPr>
        <w:t>4)</w:t>
      </w:r>
      <w:r w:rsidR="00744D1F" w:rsidRPr="001060DD">
        <w:rPr>
          <w:b/>
          <w:sz w:val="40"/>
          <w:szCs w:val="40"/>
          <w:u w:val="single"/>
        </w:rPr>
        <w:t>MHRA</w:t>
      </w:r>
      <w:proofErr w:type="gramEnd"/>
      <w:r w:rsidR="00744D1F" w:rsidRPr="001060DD">
        <w:rPr>
          <w:b/>
          <w:sz w:val="40"/>
          <w:szCs w:val="40"/>
          <w:u w:val="single"/>
        </w:rPr>
        <w:t xml:space="preserve"> Alerts</w:t>
      </w:r>
    </w:p>
    <w:p w:rsidR="00171853" w:rsidRPr="000C695F" w:rsidRDefault="00744D1F" w:rsidP="00744D1F">
      <w:pPr>
        <w:tabs>
          <w:tab w:val="left" w:pos="1080"/>
        </w:tabs>
        <w:rPr>
          <w:sz w:val="36"/>
          <w:szCs w:val="36"/>
        </w:rPr>
      </w:pPr>
      <w:r w:rsidRPr="000C695F">
        <w:rPr>
          <w:sz w:val="36"/>
          <w:szCs w:val="36"/>
        </w:rPr>
        <w:t>March &amp; April MHRA Alerts</w:t>
      </w:r>
    </w:p>
    <w:tbl>
      <w:tblPr>
        <w:tblStyle w:val="TableGrid"/>
        <w:tblW w:w="9464" w:type="dxa"/>
        <w:tblLayout w:type="fixed"/>
        <w:tblLook w:val="04A0" w:firstRow="1" w:lastRow="0" w:firstColumn="1" w:lastColumn="0" w:noHBand="0" w:noVBand="1"/>
      </w:tblPr>
      <w:tblGrid>
        <w:gridCol w:w="392"/>
        <w:gridCol w:w="1417"/>
        <w:gridCol w:w="1701"/>
        <w:gridCol w:w="5954"/>
      </w:tblGrid>
      <w:tr w:rsidR="00744D1F" w:rsidTr="000C695F">
        <w:trPr>
          <w:trHeight w:val="145"/>
        </w:trPr>
        <w:tc>
          <w:tcPr>
            <w:tcW w:w="392" w:type="dxa"/>
          </w:tcPr>
          <w:p w:rsidR="00744D1F" w:rsidRPr="000A30D2" w:rsidRDefault="00744D1F" w:rsidP="00744D1F">
            <w:pPr>
              <w:tabs>
                <w:tab w:val="left" w:pos="1080"/>
              </w:tabs>
              <w:rPr>
                <w:rFonts w:ascii="Arial" w:hAnsi="Arial" w:cs="Arial"/>
                <w:b/>
                <w:sz w:val="28"/>
                <w:szCs w:val="28"/>
              </w:rPr>
            </w:pPr>
            <w:r w:rsidRPr="000A30D2">
              <w:rPr>
                <w:b/>
                <w:bCs/>
                <w:sz w:val="28"/>
                <w:szCs w:val="28"/>
              </w:rPr>
              <w:t xml:space="preserve">Date </w:t>
            </w:r>
          </w:p>
        </w:tc>
        <w:tc>
          <w:tcPr>
            <w:tcW w:w="1417" w:type="dxa"/>
          </w:tcPr>
          <w:p w:rsidR="00744D1F" w:rsidRPr="000A30D2" w:rsidRDefault="00744D1F" w:rsidP="00744D1F">
            <w:pPr>
              <w:rPr>
                <w:b/>
                <w:bCs/>
                <w:sz w:val="28"/>
                <w:szCs w:val="28"/>
              </w:rPr>
            </w:pPr>
            <w:r w:rsidRPr="000A30D2">
              <w:rPr>
                <w:b/>
                <w:bCs/>
                <w:sz w:val="28"/>
                <w:szCs w:val="28"/>
              </w:rPr>
              <w:t>Product</w:t>
            </w:r>
          </w:p>
        </w:tc>
        <w:tc>
          <w:tcPr>
            <w:tcW w:w="1701" w:type="dxa"/>
          </w:tcPr>
          <w:p w:rsidR="00744D1F" w:rsidRPr="000A30D2" w:rsidRDefault="00744D1F" w:rsidP="00744D1F">
            <w:pPr>
              <w:rPr>
                <w:b/>
                <w:bCs/>
                <w:sz w:val="28"/>
                <w:szCs w:val="28"/>
              </w:rPr>
            </w:pPr>
            <w:r w:rsidRPr="000A30D2">
              <w:rPr>
                <w:b/>
                <w:bCs/>
                <w:sz w:val="28"/>
                <w:szCs w:val="28"/>
              </w:rPr>
              <w:t>Problem</w:t>
            </w:r>
          </w:p>
        </w:tc>
        <w:tc>
          <w:tcPr>
            <w:tcW w:w="5954" w:type="dxa"/>
          </w:tcPr>
          <w:p w:rsidR="00744D1F" w:rsidRPr="000A30D2" w:rsidRDefault="00744D1F" w:rsidP="00744D1F">
            <w:pPr>
              <w:rPr>
                <w:b/>
                <w:bCs/>
                <w:sz w:val="28"/>
                <w:szCs w:val="28"/>
              </w:rPr>
            </w:pPr>
            <w:r w:rsidRPr="000A30D2">
              <w:rPr>
                <w:b/>
                <w:bCs/>
                <w:sz w:val="28"/>
                <w:szCs w:val="28"/>
              </w:rPr>
              <w:t>Advice</w:t>
            </w:r>
          </w:p>
        </w:tc>
      </w:tr>
      <w:tr w:rsidR="00C707A8" w:rsidTr="000C695F">
        <w:trPr>
          <w:trHeight w:val="145"/>
        </w:trPr>
        <w:tc>
          <w:tcPr>
            <w:tcW w:w="9464" w:type="dxa"/>
            <w:gridSpan w:val="4"/>
          </w:tcPr>
          <w:p w:rsidR="00C707A8" w:rsidRDefault="006E41EF" w:rsidP="00744D1F">
            <w:pPr>
              <w:rPr>
                <w:b/>
                <w:bCs/>
                <w:sz w:val="28"/>
                <w:szCs w:val="28"/>
              </w:rPr>
            </w:pPr>
            <w:hyperlink r:id="rId25" w:history="1">
              <w:r w:rsidR="00C707A8" w:rsidRPr="00DA7429">
                <w:rPr>
                  <w:rStyle w:val="Hyperlink"/>
                  <w:b/>
                  <w:bCs/>
                  <w:sz w:val="28"/>
                  <w:szCs w:val="28"/>
                </w:rPr>
                <w:t>https://www.gov.uk/government/publications/drug-safety-update-monthly-newsletter</w:t>
              </w:r>
            </w:hyperlink>
          </w:p>
          <w:p w:rsidR="00C707A8" w:rsidRPr="000A30D2" w:rsidRDefault="00C707A8" w:rsidP="00744D1F">
            <w:pPr>
              <w:rPr>
                <w:b/>
                <w:bCs/>
                <w:sz w:val="28"/>
                <w:szCs w:val="28"/>
              </w:rPr>
            </w:pPr>
          </w:p>
        </w:tc>
      </w:tr>
      <w:tr w:rsidR="00744D1F" w:rsidTr="000C695F">
        <w:trPr>
          <w:trHeight w:val="145"/>
        </w:trPr>
        <w:tc>
          <w:tcPr>
            <w:tcW w:w="392" w:type="dxa"/>
          </w:tcPr>
          <w:p w:rsidR="00744D1F" w:rsidRPr="00EE1D1C" w:rsidRDefault="00744D1F" w:rsidP="00744D1F">
            <w:r w:rsidRPr="00EE1D1C">
              <w:t>09/</w:t>
            </w:r>
            <w:r w:rsidRPr="00EE1D1C">
              <w:lastRenderedPageBreak/>
              <w:t>03/2018</w:t>
            </w:r>
          </w:p>
        </w:tc>
        <w:tc>
          <w:tcPr>
            <w:tcW w:w="1417" w:type="dxa"/>
          </w:tcPr>
          <w:p w:rsidR="00744D1F" w:rsidRPr="00EE1D1C" w:rsidRDefault="00744D1F" w:rsidP="00744D1F">
            <w:pPr>
              <w:rPr>
                <w:b/>
                <w:bCs/>
              </w:rPr>
            </w:pPr>
            <w:proofErr w:type="spellStart"/>
            <w:r w:rsidRPr="00EE1D1C">
              <w:rPr>
                <w:b/>
                <w:bCs/>
              </w:rPr>
              <w:lastRenderedPageBreak/>
              <w:t>Daclizumab</w:t>
            </w:r>
            <w:proofErr w:type="spellEnd"/>
            <w:r w:rsidRPr="00EE1D1C">
              <w:rPr>
                <w:b/>
                <w:bCs/>
              </w:rPr>
              <w:t xml:space="preserve"> (</w:t>
            </w:r>
            <w:proofErr w:type="spellStart"/>
            <w:r w:rsidRPr="00EE1D1C">
              <w:rPr>
                <w:b/>
                <w:bCs/>
              </w:rPr>
              <w:t>Zinbryta</w:t>
            </w:r>
            <w:proofErr w:type="spellEnd"/>
            <w:r w:rsidRPr="00EE1D1C">
              <w:rPr>
                <w:rFonts w:ascii="Arial" w:hAnsi="Arial" w:cs="Arial"/>
                <w:b/>
                <w:bCs/>
              </w:rPr>
              <w:t>▼</w:t>
            </w:r>
            <w:r w:rsidRPr="00EE1D1C">
              <w:rPr>
                <w:b/>
                <w:bCs/>
              </w:rPr>
              <w:t>)</w:t>
            </w:r>
          </w:p>
        </w:tc>
        <w:tc>
          <w:tcPr>
            <w:tcW w:w="1701" w:type="dxa"/>
          </w:tcPr>
          <w:p w:rsidR="00744D1F" w:rsidRPr="00EE1D1C" w:rsidRDefault="00744D1F" w:rsidP="00744D1F">
            <w:r w:rsidRPr="00EE1D1C">
              <w:t xml:space="preserve">Suspension and recall for safety reasons; review </w:t>
            </w:r>
            <w:r w:rsidRPr="00EE1D1C">
              <w:lastRenderedPageBreak/>
              <w:t>patients as soon as possible and start alternative therapy</w:t>
            </w:r>
          </w:p>
        </w:tc>
        <w:tc>
          <w:tcPr>
            <w:tcW w:w="5954" w:type="dxa"/>
          </w:tcPr>
          <w:p w:rsidR="00744D1F" w:rsidRPr="00EE1D1C" w:rsidRDefault="00744D1F" w:rsidP="00744D1F">
            <w:r w:rsidRPr="00EE1D1C">
              <w:rPr>
                <w:b/>
                <w:bCs/>
              </w:rPr>
              <w:lastRenderedPageBreak/>
              <w:t>Advice for healthcare professionals</w:t>
            </w:r>
            <w:r w:rsidRPr="00EE1D1C">
              <w:t xml:space="preserve">: • Following the initiation of an urgent safety review, the European Medicines Agency (EMA) </w:t>
            </w:r>
            <w:proofErr w:type="gramStart"/>
            <w:r w:rsidRPr="00EE1D1C">
              <w:t>recommend</w:t>
            </w:r>
            <w:proofErr w:type="gramEnd"/>
            <w:r w:rsidRPr="00EE1D1C">
              <w:t xml:space="preserve"> that: o patients should not be started on </w:t>
            </w:r>
            <w:proofErr w:type="spellStart"/>
            <w:r w:rsidRPr="00EE1D1C">
              <w:lastRenderedPageBreak/>
              <w:t>daclizumab</w:t>
            </w:r>
            <w:proofErr w:type="spellEnd"/>
            <w:r w:rsidRPr="00EE1D1C">
              <w:t xml:space="preserve"> o doctors should contact all patients receiving </w:t>
            </w:r>
            <w:proofErr w:type="spellStart"/>
            <w:r w:rsidRPr="00EE1D1C">
              <w:t>daclizumab</w:t>
            </w:r>
            <w:proofErr w:type="spellEnd"/>
            <w:r w:rsidRPr="00EE1D1C">
              <w:t xml:space="preserve"> as soon as possible and stop their treatment. Alternative therapy should be considered in line with national recommendations (</w:t>
            </w:r>
            <w:proofErr w:type="spellStart"/>
            <w:r w:rsidRPr="00EE1D1C">
              <w:t>eg</w:t>
            </w:r>
            <w:proofErr w:type="spellEnd"/>
            <w:r w:rsidRPr="00EE1D1C">
              <w:t xml:space="preserve">, NICE guidance) o doctors should monitor all patients stopping </w:t>
            </w:r>
            <w:proofErr w:type="spellStart"/>
            <w:r w:rsidRPr="00EE1D1C">
              <w:t>daclizumab</w:t>
            </w:r>
            <w:proofErr w:type="spellEnd"/>
            <w:r w:rsidRPr="00EE1D1C">
              <w:t xml:space="preserve"> for adverse reactions and check their liver function tests at least monthly and more frequently if clinically indicated for up to 6 months after the last dose </w:t>
            </w:r>
            <w:proofErr w:type="spellStart"/>
            <w:r w:rsidRPr="00EE1D1C">
              <w:t>o</w:t>
            </w:r>
            <w:proofErr w:type="spellEnd"/>
            <w:r w:rsidRPr="00EE1D1C">
              <w:t xml:space="preserve"> doctors should advise patients to seek urgent medical attention if they develop severe headache or any symptoms of liver injury such as prolonged fever, abdominal pain, jaundice, dark urine, or unexplained nausea or vomiting; serious immune-mediated hepatic injury can occur up to 6 months after the final dose. o patients should talk to their doctor if they have any questions about </w:t>
            </w:r>
            <w:proofErr w:type="spellStart"/>
            <w:r w:rsidRPr="00EE1D1C">
              <w:t>daclizumab</w:t>
            </w:r>
            <w:proofErr w:type="spellEnd"/>
            <w:r w:rsidRPr="00EE1D1C">
              <w:t xml:space="preserve"> • The EMA’s recommendation to suspend </w:t>
            </w:r>
            <w:proofErr w:type="spellStart"/>
            <w:r w:rsidRPr="00EE1D1C">
              <w:t>Zinbryta</w:t>
            </w:r>
            <w:proofErr w:type="spellEnd"/>
            <w:r w:rsidRPr="00EE1D1C">
              <w:t xml:space="preserve"> and recall the product is being sent to the European Commission for a legally binding decision</w:t>
            </w:r>
          </w:p>
        </w:tc>
      </w:tr>
      <w:tr w:rsidR="00744D1F" w:rsidTr="000C695F">
        <w:trPr>
          <w:trHeight w:val="145"/>
        </w:trPr>
        <w:tc>
          <w:tcPr>
            <w:tcW w:w="392" w:type="dxa"/>
          </w:tcPr>
          <w:p w:rsidR="00744D1F" w:rsidRPr="00EE1D1C" w:rsidRDefault="00744D1F" w:rsidP="00744D1F">
            <w:r w:rsidRPr="00EE1D1C">
              <w:lastRenderedPageBreak/>
              <w:t>09/03/2018</w:t>
            </w:r>
          </w:p>
        </w:tc>
        <w:tc>
          <w:tcPr>
            <w:tcW w:w="1417" w:type="dxa"/>
          </w:tcPr>
          <w:p w:rsidR="00744D1F" w:rsidRPr="00EE1D1C" w:rsidRDefault="00744D1F" w:rsidP="00744D1F">
            <w:pPr>
              <w:rPr>
                <w:b/>
                <w:bCs/>
              </w:rPr>
            </w:pPr>
            <w:proofErr w:type="spellStart"/>
            <w:r w:rsidRPr="00EE1D1C">
              <w:rPr>
                <w:b/>
                <w:bCs/>
              </w:rPr>
              <w:t>Esmya</w:t>
            </w:r>
            <w:proofErr w:type="spellEnd"/>
            <w:r w:rsidRPr="00EE1D1C">
              <w:rPr>
                <w:b/>
                <w:bCs/>
              </w:rPr>
              <w:t xml:space="preserve"> (</w:t>
            </w:r>
            <w:proofErr w:type="spellStart"/>
            <w:r w:rsidRPr="00EE1D1C">
              <w:rPr>
                <w:b/>
                <w:bCs/>
              </w:rPr>
              <w:t>ulipristal</w:t>
            </w:r>
            <w:proofErr w:type="spellEnd"/>
            <w:r w:rsidRPr="00EE1D1C">
              <w:rPr>
                <w:b/>
                <w:bCs/>
              </w:rPr>
              <w:t xml:space="preserve"> acetate) for uterine fibroids</w:t>
            </w:r>
          </w:p>
        </w:tc>
        <w:tc>
          <w:tcPr>
            <w:tcW w:w="1701" w:type="dxa"/>
          </w:tcPr>
          <w:p w:rsidR="00744D1F" w:rsidRPr="00EE1D1C" w:rsidRDefault="00744D1F" w:rsidP="00744D1F">
            <w:r w:rsidRPr="00EE1D1C">
              <w:t>Do not initiate or re-start treatment; monitor liver function in current and recent users</w:t>
            </w:r>
          </w:p>
        </w:tc>
        <w:tc>
          <w:tcPr>
            <w:tcW w:w="5954" w:type="dxa"/>
          </w:tcPr>
          <w:p w:rsidR="00744D1F" w:rsidRPr="00EE1D1C" w:rsidRDefault="00744D1F" w:rsidP="00744D1F">
            <w:r w:rsidRPr="00EE1D1C">
              <w:rPr>
                <w:b/>
                <w:bCs/>
              </w:rPr>
              <w:t>Advice for healthcare professionals:</w:t>
            </w:r>
            <w:r w:rsidRPr="00EE1D1C">
              <w:t xml:space="preserve">                                                                                         • do not initiate new treatment courses of </w:t>
            </w:r>
            <w:proofErr w:type="spellStart"/>
            <w:r w:rsidRPr="00EE1D1C">
              <w:t>Esmya</w:t>
            </w:r>
            <w:proofErr w:type="spellEnd"/>
            <w:r w:rsidRPr="00EE1D1C">
              <w:t xml:space="preserve">, including in women who have completed one or more treatment courses previously                                                   • perform liver function tests at least once a month in all women currently taking </w:t>
            </w:r>
            <w:proofErr w:type="spellStart"/>
            <w:r w:rsidRPr="00EE1D1C">
              <w:t>Esmya</w:t>
            </w:r>
            <w:proofErr w:type="spellEnd"/>
            <w:r w:rsidRPr="00EE1D1C">
              <w:t xml:space="preserve"> and again 2–4 weeks after stopping treatment.                                                  • check transaminase levels immediately in current or recent users of </w:t>
            </w:r>
            <w:proofErr w:type="spellStart"/>
            <w:r w:rsidRPr="00EE1D1C">
              <w:t>Esmya</w:t>
            </w:r>
            <w:proofErr w:type="spellEnd"/>
            <w:r w:rsidRPr="00EE1D1C">
              <w:t xml:space="preserve"> who present with signs or symptoms suggestive of liver injury (for example, nausea, vomiting, malaise, right </w:t>
            </w:r>
            <w:proofErr w:type="spellStart"/>
            <w:r w:rsidRPr="00EE1D1C">
              <w:t>hypochondrial</w:t>
            </w:r>
            <w:proofErr w:type="spellEnd"/>
            <w:r w:rsidRPr="00EE1D1C">
              <w:t xml:space="preserve"> pain, anorexia, asthenia, or jaundice)        • stop </w:t>
            </w:r>
            <w:proofErr w:type="spellStart"/>
            <w:r w:rsidRPr="00EE1D1C">
              <w:t>Esmya</w:t>
            </w:r>
            <w:proofErr w:type="spellEnd"/>
            <w:r w:rsidRPr="00EE1D1C">
              <w:t xml:space="preserve"> in any woman who develops transaminase levels more than 2-times the upper limit of normal, closely monitor and refer women for specialist hepatology evaluation as clinically indicated                                                                 • advise women using </w:t>
            </w:r>
            <w:proofErr w:type="spellStart"/>
            <w:r w:rsidRPr="00EE1D1C">
              <w:t>Esmya</w:t>
            </w:r>
            <w:proofErr w:type="spellEnd"/>
            <w:r w:rsidRPr="00EE1D1C">
              <w:t xml:space="preserve"> about the signs and symptoms of liver injury and tell them to seek immediate medical attention if they occur</w:t>
            </w:r>
          </w:p>
        </w:tc>
      </w:tr>
      <w:tr w:rsidR="00C707A8" w:rsidTr="000C695F">
        <w:trPr>
          <w:trHeight w:val="145"/>
        </w:trPr>
        <w:tc>
          <w:tcPr>
            <w:tcW w:w="9464" w:type="dxa"/>
            <w:gridSpan w:val="4"/>
          </w:tcPr>
          <w:p w:rsidR="00C707A8" w:rsidRDefault="006E41EF" w:rsidP="00744D1F">
            <w:pPr>
              <w:rPr>
                <w:b/>
                <w:bCs/>
              </w:rPr>
            </w:pPr>
            <w:hyperlink r:id="rId26" w:history="1">
              <w:r w:rsidR="00C707A8" w:rsidRPr="00DA7429">
                <w:rPr>
                  <w:rStyle w:val="Hyperlink"/>
                  <w:b/>
                  <w:bCs/>
                </w:rPr>
                <w:t>https://www.gov.uk/government/publications/drug-safety-update-monthly-newsletter</w:t>
              </w:r>
            </w:hyperlink>
          </w:p>
          <w:p w:rsidR="00C707A8" w:rsidRPr="00EE1D1C" w:rsidRDefault="00C707A8" w:rsidP="00744D1F">
            <w:pPr>
              <w:rPr>
                <w:b/>
                <w:bCs/>
              </w:rPr>
            </w:pPr>
          </w:p>
        </w:tc>
      </w:tr>
      <w:tr w:rsidR="00744D1F" w:rsidTr="000C695F">
        <w:trPr>
          <w:trHeight w:val="145"/>
        </w:trPr>
        <w:tc>
          <w:tcPr>
            <w:tcW w:w="392" w:type="dxa"/>
          </w:tcPr>
          <w:p w:rsidR="00744D1F" w:rsidRPr="00AD0851" w:rsidRDefault="00744D1F" w:rsidP="00744D1F">
            <w:pPr>
              <w:tabs>
                <w:tab w:val="left" w:pos="1080"/>
              </w:tabs>
              <w:rPr>
                <w:sz w:val="20"/>
                <w:szCs w:val="20"/>
              </w:rPr>
            </w:pPr>
            <w:r w:rsidRPr="00AD0851">
              <w:rPr>
                <w:sz w:val="20"/>
                <w:szCs w:val="20"/>
              </w:rPr>
              <w:t>24/04/2018</w:t>
            </w:r>
          </w:p>
        </w:tc>
        <w:tc>
          <w:tcPr>
            <w:tcW w:w="1417" w:type="dxa"/>
          </w:tcPr>
          <w:p w:rsidR="00744D1F" w:rsidRPr="00AD0851" w:rsidRDefault="00744D1F" w:rsidP="00744D1F">
            <w:pPr>
              <w:tabs>
                <w:tab w:val="left" w:pos="1080"/>
              </w:tabs>
              <w:rPr>
                <w:b/>
                <w:bCs/>
              </w:rPr>
            </w:pPr>
            <w:r w:rsidRPr="00AD0851">
              <w:rPr>
                <w:b/>
                <w:bCs/>
              </w:rPr>
              <w:t>Valproate medicines (</w:t>
            </w:r>
            <w:proofErr w:type="spellStart"/>
            <w:r w:rsidRPr="00AD0851">
              <w:rPr>
                <w:b/>
                <w:bCs/>
              </w:rPr>
              <w:t>Epilim</w:t>
            </w:r>
            <w:proofErr w:type="spellEnd"/>
            <w:r w:rsidRPr="00AD0851">
              <w:rPr>
                <w:rFonts w:ascii="Arial" w:hAnsi="Arial" w:cs="Arial"/>
                <w:b/>
                <w:bCs/>
              </w:rPr>
              <w:t>▼</w:t>
            </w:r>
            <w:r w:rsidRPr="00AD0851">
              <w:rPr>
                <w:b/>
                <w:bCs/>
              </w:rPr>
              <w:t>, Depakote</w:t>
            </w:r>
            <w:r w:rsidRPr="00AD0851">
              <w:rPr>
                <w:rFonts w:ascii="Arial" w:hAnsi="Arial" w:cs="Arial"/>
                <w:b/>
                <w:bCs/>
              </w:rPr>
              <w:t>▼</w:t>
            </w:r>
            <w:r w:rsidRPr="00AD0851">
              <w:rPr>
                <w:b/>
                <w:bCs/>
              </w:rPr>
              <w:t>):</w:t>
            </w:r>
          </w:p>
        </w:tc>
        <w:tc>
          <w:tcPr>
            <w:tcW w:w="1701" w:type="dxa"/>
          </w:tcPr>
          <w:p w:rsidR="00744D1F" w:rsidRPr="00AD0851" w:rsidRDefault="00744D1F" w:rsidP="00744D1F">
            <w:pPr>
              <w:tabs>
                <w:tab w:val="left" w:pos="1080"/>
              </w:tabs>
            </w:pPr>
            <w:r w:rsidRPr="00AD0851">
              <w:t>Contraindicated in women and girls of childbearing potential unless conditions of Pregnancy Prevention Programme are met</w:t>
            </w:r>
          </w:p>
        </w:tc>
        <w:tc>
          <w:tcPr>
            <w:tcW w:w="5954" w:type="dxa"/>
          </w:tcPr>
          <w:p w:rsidR="00744D1F" w:rsidRPr="00AD0851" w:rsidRDefault="00744D1F" w:rsidP="00744D1F">
            <w:pPr>
              <w:tabs>
                <w:tab w:val="left" w:pos="1080"/>
              </w:tabs>
            </w:pPr>
            <w:r w:rsidRPr="00AD0851">
              <w:rPr>
                <w:b/>
                <w:bCs/>
              </w:rPr>
              <w:t xml:space="preserve">Advice for healthcare professionals:                                                                                         • </w:t>
            </w:r>
            <w:r w:rsidRPr="00AD0851">
              <w:t xml:space="preserve">valproate medicines must not be used in women and girls of childbearing potential unless the conditions of the Pregnancy Prevention Programme are met (see below) and only if other treatments are ineffective or not tolerated, as judged by an experienced specialist                                                                                  • you will receive materials by post in the coming weeks to use in the implementation of the Pregnancy Prevention Programme (Patient Guide, Healthcare Professional Guide, Risk Acknowledgement Form, and, for pharmacists, Patient Cards and stickers to attach a warning label to the pack)       • GPs must identify and recall all women and girls who may be of childbearing potential, provide the Patient Guide and check </w:t>
            </w:r>
            <w:r w:rsidRPr="00AD0851">
              <w:lastRenderedPageBreak/>
              <w:t xml:space="preserve">they have been reviewed by a specialist in the last year and are on highly effective contraception (see later for information on contraception)                                                                                             • specialists must book in review appointments at least annually with women and girls under the Pregnancy Prevention Programme and re-evaluate treatment as necessary; explain clearly the conditions as outlined in the supporting materials; and complete and sign the Risk Acknowledgement Form—copies of the form must be given to the patient or patient/caregiver/responsible person and sent to their GP                                                                                                  </w:t>
            </w:r>
            <w:r w:rsidRPr="00AD0851">
              <w:rPr>
                <w:b/>
                <w:bCs/>
              </w:rPr>
              <w:t xml:space="preserve">Contraindication in pregnancy                                                                                                   </w:t>
            </w:r>
            <w:r w:rsidRPr="00AD0851">
              <w:t>• use of valproate medicines in pregnancy is contraindicated for bipolar disorder and must only be considered for epilepsy if there is no suitable alternative treatment</w:t>
            </w:r>
          </w:p>
        </w:tc>
      </w:tr>
      <w:tr w:rsidR="00744D1F" w:rsidTr="000C695F">
        <w:trPr>
          <w:trHeight w:val="4651"/>
        </w:trPr>
        <w:tc>
          <w:tcPr>
            <w:tcW w:w="392" w:type="dxa"/>
          </w:tcPr>
          <w:p w:rsidR="00744D1F" w:rsidRPr="00AD0851" w:rsidRDefault="00744D1F" w:rsidP="00744D1F">
            <w:pPr>
              <w:rPr>
                <w:rFonts w:ascii="Calibri" w:eastAsia="Times New Roman" w:hAnsi="Calibri" w:cs="Times New Roman"/>
                <w:color w:val="000000"/>
                <w:sz w:val="20"/>
                <w:szCs w:val="20"/>
                <w:lang w:eastAsia="en-GB"/>
              </w:rPr>
            </w:pPr>
            <w:r w:rsidRPr="00AD0851">
              <w:rPr>
                <w:rFonts w:ascii="Calibri" w:eastAsia="Times New Roman" w:hAnsi="Calibri" w:cs="Times New Roman"/>
                <w:color w:val="000000"/>
                <w:sz w:val="20"/>
                <w:szCs w:val="20"/>
                <w:lang w:eastAsia="en-GB"/>
              </w:rPr>
              <w:lastRenderedPageBreak/>
              <w:t>24/04/2018</w:t>
            </w:r>
          </w:p>
        </w:tc>
        <w:tc>
          <w:tcPr>
            <w:tcW w:w="1417" w:type="dxa"/>
          </w:tcPr>
          <w:p w:rsidR="00744D1F" w:rsidRPr="00AD0851" w:rsidRDefault="00744D1F" w:rsidP="00744D1F">
            <w:pPr>
              <w:rPr>
                <w:rFonts w:ascii="Arial" w:eastAsia="Times New Roman" w:hAnsi="Arial" w:cs="Arial"/>
                <w:b/>
                <w:bCs/>
                <w:color w:val="000000"/>
                <w:sz w:val="21"/>
                <w:szCs w:val="21"/>
                <w:lang w:eastAsia="en-GB"/>
              </w:rPr>
            </w:pPr>
            <w:proofErr w:type="spellStart"/>
            <w:r w:rsidRPr="00AD0851">
              <w:rPr>
                <w:rFonts w:ascii="Arial" w:eastAsia="Times New Roman" w:hAnsi="Arial" w:cs="Arial"/>
                <w:b/>
                <w:bCs/>
                <w:color w:val="000000"/>
                <w:sz w:val="21"/>
                <w:szCs w:val="21"/>
                <w:lang w:eastAsia="en-GB"/>
              </w:rPr>
              <w:t>Obeticholic</w:t>
            </w:r>
            <w:proofErr w:type="spellEnd"/>
            <w:r w:rsidRPr="00AD0851">
              <w:rPr>
                <w:rFonts w:ascii="Arial" w:eastAsia="Times New Roman" w:hAnsi="Arial" w:cs="Arial"/>
                <w:b/>
                <w:bCs/>
                <w:color w:val="000000"/>
                <w:sz w:val="21"/>
                <w:szCs w:val="21"/>
                <w:lang w:eastAsia="en-GB"/>
              </w:rPr>
              <w:t xml:space="preserve"> acid (</w:t>
            </w:r>
            <w:proofErr w:type="spellStart"/>
            <w:r w:rsidRPr="00AD0851">
              <w:rPr>
                <w:rFonts w:ascii="Arial" w:eastAsia="Times New Roman" w:hAnsi="Arial" w:cs="Arial"/>
                <w:b/>
                <w:bCs/>
                <w:color w:val="000000"/>
                <w:sz w:val="21"/>
                <w:szCs w:val="21"/>
                <w:lang w:eastAsia="en-GB"/>
              </w:rPr>
              <w:t>Ocaliva</w:t>
            </w:r>
            <w:proofErr w:type="spellEnd"/>
            <w:r w:rsidRPr="00AD0851">
              <w:rPr>
                <w:rFonts w:ascii="Arial" w:eastAsia="Times New Roman" w:hAnsi="Arial" w:cs="Arial"/>
                <w:b/>
                <w:bCs/>
                <w:color w:val="000000"/>
                <w:sz w:val="21"/>
                <w:szCs w:val="21"/>
                <w:lang w:eastAsia="en-GB"/>
              </w:rPr>
              <w:t>▼):</w:t>
            </w:r>
          </w:p>
        </w:tc>
        <w:tc>
          <w:tcPr>
            <w:tcW w:w="1701" w:type="dxa"/>
          </w:tcPr>
          <w:p w:rsidR="00744D1F" w:rsidRPr="00AD0851" w:rsidRDefault="00744D1F" w:rsidP="00744D1F">
            <w:pPr>
              <w:rPr>
                <w:rFonts w:ascii="Calibri" w:eastAsia="Times New Roman" w:hAnsi="Calibri" w:cs="Times New Roman"/>
                <w:color w:val="000000"/>
                <w:lang w:eastAsia="en-GB"/>
              </w:rPr>
            </w:pPr>
            <w:r w:rsidRPr="00AD0851">
              <w:rPr>
                <w:rFonts w:ascii="Calibri" w:eastAsia="Times New Roman" w:hAnsi="Calibri" w:cs="Times New Roman"/>
                <w:color w:val="000000"/>
                <w:lang w:eastAsia="en-GB"/>
              </w:rPr>
              <w:t>Risk of serious liver injury in patients with pre-existing moderate or severe hepatic impairment; reminder to adjust dosing according to liver function monitoring</w:t>
            </w:r>
          </w:p>
        </w:tc>
        <w:tc>
          <w:tcPr>
            <w:tcW w:w="5954" w:type="dxa"/>
          </w:tcPr>
          <w:p w:rsidR="00744D1F" w:rsidRPr="00AD0851" w:rsidRDefault="00744D1F" w:rsidP="00744D1F">
            <w:pPr>
              <w:rPr>
                <w:rFonts w:ascii="Calibri" w:eastAsia="Times New Roman" w:hAnsi="Calibri" w:cs="Times New Roman"/>
                <w:color w:val="000000"/>
                <w:lang w:eastAsia="en-GB"/>
              </w:rPr>
            </w:pPr>
            <w:r w:rsidRPr="00AD0851">
              <w:rPr>
                <w:rFonts w:ascii="Calibri" w:eastAsia="Times New Roman" w:hAnsi="Calibri" w:cs="Times New Roman"/>
                <w:b/>
                <w:bCs/>
                <w:color w:val="000000"/>
                <w:lang w:eastAsia="en-GB"/>
              </w:rPr>
              <w:t>Advice for healthcare professionals:</w:t>
            </w:r>
            <w:r w:rsidRPr="00AD0851">
              <w:rPr>
                <w:rFonts w:ascii="Calibri" w:eastAsia="Times New Roman" w:hAnsi="Calibri" w:cs="Times New Roman"/>
                <w:color w:val="000000"/>
                <w:lang w:eastAsia="en-GB"/>
              </w:rPr>
              <w:t xml:space="preserve">                                                                                          • patients with pre-existing moderate or severe liver impairment who are taking </w:t>
            </w:r>
            <w:proofErr w:type="spellStart"/>
            <w:r w:rsidRPr="00AD0851">
              <w:rPr>
                <w:rFonts w:ascii="Calibri" w:eastAsia="Times New Roman" w:hAnsi="Calibri" w:cs="Times New Roman"/>
                <w:color w:val="000000"/>
                <w:lang w:eastAsia="en-GB"/>
              </w:rPr>
              <w:t>obeticholic</w:t>
            </w:r>
            <w:proofErr w:type="spellEnd"/>
            <w:r w:rsidRPr="00AD0851">
              <w:rPr>
                <w:rFonts w:ascii="Calibri" w:eastAsia="Times New Roman" w:hAnsi="Calibri" w:cs="Times New Roman"/>
                <w:color w:val="000000"/>
                <w:lang w:eastAsia="en-GB"/>
              </w:rPr>
              <w:t xml:space="preserve"> acid are at risk of serious liver injury; adequate dose reduction in these patients is therefore essential                                                                                • assess hepatic status before starting </w:t>
            </w:r>
            <w:proofErr w:type="spellStart"/>
            <w:r w:rsidRPr="00AD0851">
              <w:rPr>
                <w:rFonts w:ascii="Calibri" w:eastAsia="Times New Roman" w:hAnsi="Calibri" w:cs="Times New Roman"/>
                <w:color w:val="000000"/>
                <w:lang w:eastAsia="en-GB"/>
              </w:rPr>
              <w:t>obeticholic</w:t>
            </w:r>
            <w:proofErr w:type="spellEnd"/>
            <w:r w:rsidRPr="00AD0851">
              <w:rPr>
                <w:rFonts w:ascii="Calibri" w:eastAsia="Times New Roman" w:hAnsi="Calibri" w:cs="Times New Roman"/>
                <w:color w:val="000000"/>
                <w:lang w:eastAsia="en-GB"/>
              </w:rPr>
              <w:t xml:space="preserve"> acid                                               • start patients with Child-Pugh Class B or C or decompensated liver cirrhosis at a reduced dose of 5 mg once a week (rather than once a day) and only increase dosing frequency to 5 mg twice a week (at least 3 days apart) and subsequently 10 mg twice a week (at least 3 days apart) in these patients if an adequate reduction in alkaline phosphatase and/or total bilirubin has not been achieved after 3 months and if the patient is tolerating the medicine – see Summary of Product Characteristics                                                                                                          • monitor all patients for primary biliary cholangitis (PBC) progression with laboratory and clinical assessment and evaluate at regular intervals the need for dose r</w:t>
            </w:r>
            <w:r w:rsidRPr="0064499B">
              <w:rPr>
                <w:rFonts w:ascii="Calibri" w:eastAsia="Times New Roman" w:hAnsi="Calibri" w:cs="Times New Roman"/>
                <w:b/>
                <w:color w:val="000000"/>
                <w:lang w:eastAsia="en-GB"/>
              </w:rPr>
              <w:t>eduction</w:t>
            </w:r>
          </w:p>
        </w:tc>
      </w:tr>
    </w:tbl>
    <w:p w:rsidR="00744D1F" w:rsidRPr="00CB3D5C" w:rsidRDefault="00744D1F">
      <w:pPr>
        <w:rPr>
          <w:b/>
          <w:sz w:val="24"/>
          <w:szCs w:val="24"/>
        </w:rPr>
      </w:pPr>
    </w:p>
    <w:p w:rsidR="000C695F" w:rsidRDefault="0064499B">
      <w:pPr>
        <w:tabs>
          <w:tab w:val="left" w:pos="1080"/>
        </w:tabs>
        <w:rPr>
          <w:rFonts w:cs="Arial"/>
          <w:b/>
          <w:sz w:val="24"/>
          <w:szCs w:val="24"/>
          <w:u w:val="single"/>
        </w:rPr>
      </w:pPr>
      <w:r>
        <w:rPr>
          <w:rFonts w:cs="Arial"/>
          <w:b/>
          <w:sz w:val="36"/>
          <w:szCs w:val="36"/>
          <w:u w:val="single"/>
        </w:rPr>
        <w:t xml:space="preserve">5) </w:t>
      </w:r>
      <w:r w:rsidR="00CB3D5C" w:rsidRPr="0064499B">
        <w:rPr>
          <w:rFonts w:cs="Arial"/>
          <w:b/>
          <w:sz w:val="36"/>
          <w:szCs w:val="36"/>
          <w:u w:val="single"/>
        </w:rPr>
        <w:t>Net Formulary update</w:t>
      </w:r>
      <w:r>
        <w:rPr>
          <w:rFonts w:cs="Arial"/>
          <w:b/>
          <w:sz w:val="24"/>
          <w:szCs w:val="24"/>
          <w:u w:val="single"/>
        </w:rPr>
        <w:br/>
      </w:r>
      <w:proofErr w:type="gramStart"/>
      <w:r w:rsidR="00CB3D5C" w:rsidRPr="00CB3D5C">
        <w:rPr>
          <w:rFonts w:cs="Arial"/>
          <w:sz w:val="24"/>
          <w:szCs w:val="24"/>
        </w:rPr>
        <w:t>We</w:t>
      </w:r>
      <w:proofErr w:type="gramEnd"/>
      <w:r w:rsidR="000C695F">
        <w:rPr>
          <w:rFonts w:cs="Arial"/>
          <w:sz w:val="24"/>
          <w:szCs w:val="24"/>
        </w:rPr>
        <w:t xml:space="preserve"> are continuing</w:t>
      </w:r>
      <w:r w:rsidR="00CB3D5C" w:rsidRPr="00CB3D5C">
        <w:rPr>
          <w:rFonts w:cs="Arial"/>
          <w:sz w:val="24"/>
          <w:szCs w:val="24"/>
        </w:rPr>
        <w:t xml:space="preserve"> to update our joint formulary available at: </w:t>
      </w:r>
      <w:hyperlink r:id="rId27" w:history="1">
        <w:r w:rsidR="00744D1F" w:rsidRPr="0070780C">
          <w:rPr>
            <w:rStyle w:val="Hyperlink"/>
            <w:rFonts w:cs="Arial"/>
            <w:sz w:val="24"/>
            <w:szCs w:val="24"/>
          </w:rPr>
          <w:t>http://www.northernlincolnshireapc.nhs.uk/formulary-documents/formulary/chapter-2/</w:t>
        </w:r>
      </w:hyperlink>
    </w:p>
    <w:p w:rsidR="00CB3D5C" w:rsidRPr="000C695F" w:rsidRDefault="00744D1F">
      <w:pPr>
        <w:tabs>
          <w:tab w:val="left" w:pos="1080"/>
        </w:tabs>
        <w:rPr>
          <w:rFonts w:cs="Arial"/>
          <w:b/>
          <w:sz w:val="24"/>
          <w:szCs w:val="24"/>
          <w:u w:val="single"/>
        </w:rPr>
      </w:pPr>
      <w:r>
        <w:rPr>
          <w:rFonts w:cs="Arial"/>
          <w:sz w:val="24"/>
          <w:szCs w:val="24"/>
        </w:rPr>
        <w:t xml:space="preserve">Net Formulary </w:t>
      </w:r>
      <w:r w:rsidR="00CB3D5C" w:rsidRPr="00CB3D5C">
        <w:rPr>
          <w:rFonts w:cs="Arial"/>
          <w:sz w:val="24"/>
          <w:szCs w:val="24"/>
        </w:rPr>
        <w:t>holds information about drug</w:t>
      </w:r>
      <w:r>
        <w:rPr>
          <w:rFonts w:cs="Arial"/>
          <w:sz w:val="24"/>
          <w:szCs w:val="24"/>
        </w:rPr>
        <w:t>s and their formulary status.  It also</w:t>
      </w:r>
      <w:r w:rsidR="00CB3D5C" w:rsidRPr="00CB3D5C">
        <w:rPr>
          <w:rFonts w:cs="Arial"/>
          <w:sz w:val="24"/>
          <w:szCs w:val="24"/>
        </w:rPr>
        <w:t xml:space="preserve"> includes traffic light status of medications so that prescriber responsibilities are clear. Pathways, NICE and APC policies will be linked to this as well as APC minutes and policies. This is an active document which is being continually updated.  Please feel free to provide feedback or comments to the Area Prescribing Professional secretary Aliya Turk at </w:t>
      </w:r>
      <w:hyperlink r:id="rId28" w:history="1">
        <w:r w:rsidR="00540DFD" w:rsidRPr="00DA7429">
          <w:rPr>
            <w:rStyle w:val="Hyperlink"/>
            <w:rFonts w:cs="Arial"/>
            <w:sz w:val="24"/>
            <w:szCs w:val="24"/>
          </w:rPr>
          <w:t>aliya.turk@nhs.net</w:t>
        </w:r>
      </w:hyperlink>
      <w:r w:rsidR="00540DFD">
        <w:rPr>
          <w:rFonts w:cs="Arial"/>
          <w:sz w:val="24"/>
          <w:szCs w:val="24"/>
        </w:rPr>
        <w:t xml:space="preserve"> </w:t>
      </w:r>
    </w:p>
    <w:sectPr w:rsidR="00CB3D5C" w:rsidRPr="000C695F">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492" w:rsidRDefault="00832492" w:rsidP="00832492">
      <w:pPr>
        <w:spacing w:after="0" w:line="240" w:lineRule="auto"/>
      </w:pPr>
      <w:r>
        <w:separator/>
      </w:r>
    </w:p>
  </w:endnote>
  <w:endnote w:type="continuationSeparator" w:id="0">
    <w:p w:rsidR="00832492" w:rsidRDefault="00832492" w:rsidP="00832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6DB" w:rsidRPr="00A03836" w:rsidRDefault="007A121D" w:rsidP="00A03836">
    <w:pPr>
      <w:pStyle w:val="Footer"/>
    </w:pPr>
    <w:r>
      <w:rPr>
        <w:noProof/>
        <w:lang w:eastAsia="en-GB"/>
      </w:rPr>
      <w:drawing>
        <wp:inline distT="0" distB="0" distL="0" distR="0" wp14:anchorId="67C58490" wp14:editId="1F7B71AA">
          <wp:extent cx="5731510" cy="758777"/>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58777"/>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492" w:rsidRDefault="00832492" w:rsidP="00832492">
      <w:pPr>
        <w:spacing w:after="0" w:line="240" w:lineRule="auto"/>
      </w:pPr>
      <w:r>
        <w:separator/>
      </w:r>
    </w:p>
  </w:footnote>
  <w:footnote w:type="continuationSeparator" w:id="0">
    <w:p w:rsidR="00832492" w:rsidRDefault="00832492" w:rsidP="008324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492" w:rsidRDefault="00A03836">
    <w:pPr>
      <w:pStyle w:val="Header"/>
    </w:pPr>
    <w:r>
      <w:rPr>
        <w:noProof/>
        <w:lang w:eastAsia="en-GB"/>
      </w:rPr>
      <w:drawing>
        <wp:inline distT="0" distB="0" distL="0" distR="0">
          <wp:extent cx="6038850" cy="79961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6407" cy="803267"/>
                  </a:xfrm>
                  <a:prstGeom prst="rect">
                    <a:avLst/>
                  </a:prstGeom>
                  <a:noFill/>
                  <a:ln>
                    <a:noFill/>
                  </a:ln>
                </pic:spPr>
              </pic:pic>
            </a:graphicData>
          </a:graphic>
        </wp:inline>
      </w:drawing>
    </w:r>
  </w:p>
  <w:p w:rsidR="00832492" w:rsidRDefault="008324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33940"/>
    <w:multiLevelType w:val="hybridMultilevel"/>
    <w:tmpl w:val="4C782B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5A470FE7"/>
    <w:multiLevelType w:val="hybridMultilevel"/>
    <w:tmpl w:val="685AC3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0DD47B0"/>
    <w:multiLevelType w:val="hybridMultilevel"/>
    <w:tmpl w:val="4D181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46773E1"/>
    <w:multiLevelType w:val="hybridMultilevel"/>
    <w:tmpl w:val="8124B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C14"/>
    <w:rsid w:val="00074B42"/>
    <w:rsid w:val="000A30D2"/>
    <w:rsid w:val="000C695F"/>
    <w:rsid w:val="000E379B"/>
    <w:rsid w:val="001060DD"/>
    <w:rsid w:val="001459FF"/>
    <w:rsid w:val="00165711"/>
    <w:rsid w:val="00171853"/>
    <w:rsid w:val="0018231C"/>
    <w:rsid w:val="001D1C14"/>
    <w:rsid w:val="002A21F4"/>
    <w:rsid w:val="002C64EC"/>
    <w:rsid w:val="00352136"/>
    <w:rsid w:val="00367CD1"/>
    <w:rsid w:val="003A4D43"/>
    <w:rsid w:val="004A2AEB"/>
    <w:rsid w:val="00505638"/>
    <w:rsid w:val="00540DFD"/>
    <w:rsid w:val="005C6D25"/>
    <w:rsid w:val="00602FD6"/>
    <w:rsid w:val="0064499B"/>
    <w:rsid w:val="00686653"/>
    <w:rsid w:val="006B5FB1"/>
    <w:rsid w:val="006E41EF"/>
    <w:rsid w:val="00712A59"/>
    <w:rsid w:val="00744D1F"/>
    <w:rsid w:val="00761DFD"/>
    <w:rsid w:val="00762DB6"/>
    <w:rsid w:val="00792E69"/>
    <w:rsid w:val="007A121D"/>
    <w:rsid w:val="007C3C96"/>
    <w:rsid w:val="007D3C87"/>
    <w:rsid w:val="00832492"/>
    <w:rsid w:val="00842F72"/>
    <w:rsid w:val="0089173F"/>
    <w:rsid w:val="008C6C96"/>
    <w:rsid w:val="008D6DBB"/>
    <w:rsid w:val="00904BDA"/>
    <w:rsid w:val="009255C2"/>
    <w:rsid w:val="00967B8E"/>
    <w:rsid w:val="00985768"/>
    <w:rsid w:val="009A56D9"/>
    <w:rsid w:val="00A03836"/>
    <w:rsid w:val="00A1060A"/>
    <w:rsid w:val="00A51211"/>
    <w:rsid w:val="00A91CE4"/>
    <w:rsid w:val="00AD0851"/>
    <w:rsid w:val="00B92B93"/>
    <w:rsid w:val="00B967A5"/>
    <w:rsid w:val="00C707A8"/>
    <w:rsid w:val="00CB3D5C"/>
    <w:rsid w:val="00CD77E9"/>
    <w:rsid w:val="00D467E6"/>
    <w:rsid w:val="00DD191D"/>
    <w:rsid w:val="00E7177D"/>
    <w:rsid w:val="00ED38F6"/>
    <w:rsid w:val="00EE1D1C"/>
    <w:rsid w:val="00F36426"/>
    <w:rsid w:val="00F876DB"/>
    <w:rsid w:val="00FC3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83249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D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DFD"/>
    <w:rPr>
      <w:rFonts w:ascii="Tahoma" w:hAnsi="Tahoma" w:cs="Tahoma"/>
      <w:sz w:val="16"/>
      <w:szCs w:val="16"/>
    </w:rPr>
  </w:style>
  <w:style w:type="paragraph" w:styleId="ListParagraph">
    <w:name w:val="List Paragraph"/>
    <w:basedOn w:val="Normal"/>
    <w:uiPriority w:val="34"/>
    <w:qFormat/>
    <w:rsid w:val="00761DFD"/>
    <w:pPr>
      <w:ind w:left="720"/>
      <w:contextualSpacing/>
    </w:pPr>
  </w:style>
  <w:style w:type="character" w:customStyle="1" w:styleId="prod-title2">
    <w:name w:val="prod-title2"/>
    <w:basedOn w:val="DefaultParagraphFont"/>
    <w:rsid w:val="00761DFD"/>
  </w:style>
  <w:style w:type="character" w:styleId="Hyperlink">
    <w:name w:val="Hyperlink"/>
    <w:basedOn w:val="DefaultParagraphFont"/>
    <w:uiPriority w:val="99"/>
    <w:unhideWhenUsed/>
    <w:rsid w:val="00761DFD"/>
    <w:rPr>
      <w:color w:val="0000FF" w:themeColor="hyperlink"/>
      <w:u w:val="single"/>
    </w:rPr>
  </w:style>
  <w:style w:type="paragraph" w:styleId="NoSpacing">
    <w:name w:val="No Spacing"/>
    <w:uiPriority w:val="1"/>
    <w:qFormat/>
    <w:rsid w:val="008D6DBB"/>
    <w:pPr>
      <w:suppressAutoHyphens/>
      <w:spacing w:after="0" w:line="100" w:lineRule="atLeast"/>
    </w:pPr>
    <w:rPr>
      <w:rFonts w:ascii="Calibri" w:eastAsia="SimSun" w:hAnsi="Calibri" w:cs="Calibri"/>
      <w:kern w:val="1"/>
      <w:lang w:eastAsia="ar-SA"/>
    </w:rPr>
  </w:style>
  <w:style w:type="character" w:customStyle="1" w:styleId="redtextbold">
    <w:name w:val="redtextbold"/>
    <w:basedOn w:val="DefaultParagraphFont"/>
    <w:rsid w:val="008D6DBB"/>
  </w:style>
  <w:style w:type="table" w:styleId="TableGrid">
    <w:name w:val="Table Grid"/>
    <w:basedOn w:val="TableNormal"/>
    <w:uiPriority w:val="59"/>
    <w:rsid w:val="00AD0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32492"/>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8324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32492"/>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8324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492"/>
  </w:style>
  <w:style w:type="paragraph" w:styleId="Footer">
    <w:name w:val="footer"/>
    <w:basedOn w:val="Normal"/>
    <w:link w:val="FooterChar"/>
    <w:uiPriority w:val="99"/>
    <w:unhideWhenUsed/>
    <w:rsid w:val="008324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492"/>
  </w:style>
  <w:style w:type="character" w:styleId="FollowedHyperlink">
    <w:name w:val="FollowedHyperlink"/>
    <w:basedOn w:val="DefaultParagraphFont"/>
    <w:uiPriority w:val="99"/>
    <w:semiHidden/>
    <w:unhideWhenUsed/>
    <w:rsid w:val="00C707A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83249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D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DFD"/>
    <w:rPr>
      <w:rFonts w:ascii="Tahoma" w:hAnsi="Tahoma" w:cs="Tahoma"/>
      <w:sz w:val="16"/>
      <w:szCs w:val="16"/>
    </w:rPr>
  </w:style>
  <w:style w:type="paragraph" w:styleId="ListParagraph">
    <w:name w:val="List Paragraph"/>
    <w:basedOn w:val="Normal"/>
    <w:uiPriority w:val="34"/>
    <w:qFormat/>
    <w:rsid w:val="00761DFD"/>
    <w:pPr>
      <w:ind w:left="720"/>
      <w:contextualSpacing/>
    </w:pPr>
  </w:style>
  <w:style w:type="character" w:customStyle="1" w:styleId="prod-title2">
    <w:name w:val="prod-title2"/>
    <w:basedOn w:val="DefaultParagraphFont"/>
    <w:rsid w:val="00761DFD"/>
  </w:style>
  <w:style w:type="character" w:styleId="Hyperlink">
    <w:name w:val="Hyperlink"/>
    <w:basedOn w:val="DefaultParagraphFont"/>
    <w:uiPriority w:val="99"/>
    <w:unhideWhenUsed/>
    <w:rsid w:val="00761DFD"/>
    <w:rPr>
      <w:color w:val="0000FF" w:themeColor="hyperlink"/>
      <w:u w:val="single"/>
    </w:rPr>
  </w:style>
  <w:style w:type="paragraph" w:styleId="NoSpacing">
    <w:name w:val="No Spacing"/>
    <w:uiPriority w:val="1"/>
    <w:qFormat/>
    <w:rsid w:val="008D6DBB"/>
    <w:pPr>
      <w:suppressAutoHyphens/>
      <w:spacing w:after="0" w:line="100" w:lineRule="atLeast"/>
    </w:pPr>
    <w:rPr>
      <w:rFonts w:ascii="Calibri" w:eastAsia="SimSun" w:hAnsi="Calibri" w:cs="Calibri"/>
      <w:kern w:val="1"/>
      <w:lang w:eastAsia="ar-SA"/>
    </w:rPr>
  </w:style>
  <w:style w:type="character" w:customStyle="1" w:styleId="redtextbold">
    <w:name w:val="redtextbold"/>
    <w:basedOn w:val="DefaultParagraphFont"/>
    <w:rsid w:val="008D6DBB"/>
  </w:style>
  <w:style w:type="table" w:styleId="TableGrid">
    <w:name w:val="Table Grid"/>
    <w:basedOn w:val="TableNormal"/>
    <w:uiPriority w:val="59"/>
    <w:rsid w:val="00AD0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32492"/>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8324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32492"/>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8324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492"/>
  </w:style>
  <w:style w:type="paragraph" w:styleId="Footer">
    <w:name w:val="footer"/>
    <w:basedOn w:val="Normal"/>
    <w:link w:val="FooterChar"/>
    <w:uiPriority w:val="99"/>
    <w:unhideWhenUsed/>
    <w:rsid w:val="008324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492"/>
  </w:style>
  <w:style w:type="character" w:styleId="FollowedHyperlink">
    <w:name w:val="FollowedHyperlink"/>
    <w:basedOn w:val="DefaultParagraphFont"/>
    <w:uiPriority w:val="99"/>
    <w:semiHidden/>
    <w:unhideWhenUsed/>
    <w:rsid w:val="00C707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8742">
      <w:bodyDiv w:val="1"/>
      <w:marLeft w:val="0"/>
      <w:marRight w:val="0"/>
      <w:marTop w:val="0"/>
      <w:marBottom w:val="0"/>
      <w:divBdr>
        <w:top w:val="none" w:sz="0" w:space="0" w:color="auto"/>
        <w:left w:val="none" w:sz="0" w:space="0" w:color="auto"/>
        <w:bottom w:val="none" w:sz="0" w:space="0" w:color="auto"/>
        <w:right w:val="none" w:sz="0" w:space="0" w:color="auto"/>
      </w:divBdr>
    </w:div>
    <w:div w:id="911937905">
      <w:bodyDiv w:val="1"/>
      <w:marLeft w:val="0"/>
      <w:marRight w:val="0"/>
      <w:marTop w:val="0"/>
      <w:marBottom w:val="0"/>
      <w:divBdr>
        <w:top w:val="none" w:sz="0" w:space="0" w:color="auto"/>
        <w:left w:val="none" w:sz="0" w:space="0" w:color="auto"/>
        <w:bottom w:val="none" w:sz="0" w:space="0" w:color="auto"/>
        <w:right w:val="none" w:sz="0" w:space="0" w:color="auto"/>
      </w:divBdr>
    </w:div>
    <w:div w:id="1427457923">
      <w:bodyDiv w:val="1"/>
      <w:marLeft w:val="0"/>
      <w:marRight w:val="0"/>
      <w:marTop w:val="0"/>
      <w:marBottom w:val="0"/>
      <w:divBdr>
        <w:top w:val="none" w:sz="0" w:space="0" w:color="auto"/>
        <w:left w:val="none" w:sz="0" w:space="0" w:color="auto"/>
        <w:bottom w:val="none" w:sz="0" w:space="0" w:color="auto"/>
        <w:right w:val="none" w:sz="0" w:space="0" w:color="auto"/>
      </w:divBdr>
    </w:div>
    <w:div w:id="1596858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ice.org.uk/guidance/ta511" TargetMode="External"/><Relationship Id="rId18" Type="http://schemas.openxmlformats.org/officeDocument/2006/relationships/hyperlink" Target="https://www.nice.org.uk/guidance/ta516" TargetMode="External"/><Relationship Id="rId26" Type="http://schemas.openxmlformats.org/officeDocument/2006/relationships/hyperlink" Target="https://www.gov.uk/government/publications/drug-safety-update-monthly-newsletter" TargetMode="Externa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https://www.nice.org.uk/guidance/ta507" TargetMode="External"/><Relationship Id="rId17" Type="http://schemas.openxmlformats.org/officeDocument/2006/relationships/hyperlink" Target="https://www.nice.org.uk/guidance/ta513" TargetMode="External"/><Relationship Id="rId25" Type="http://schemas.openxmlformats.org/officeDocument/2006/relationships/hyperlink" Target="https://www.gov.uk/government/publications/drug-safety-update-monthly-newsletter" TargetMode="External"/><Relationship Id="rId2" Type="http://schemas.openxmlformats.org/officeDocument/2006/relationships/numbering" Target="numbering.xml"/><Relationship Id="rId16" Type="http://schemas.openxmlformats.org/officeDocument/2006/relationships/hyperlink" Target="https://www.nice.org.uk/guidance/ta510" TargetMode="External"/><Relationship Id="rId20" Type="http://schemas.openxmlformats.org/officeDocument/2006/relationships/image" Target="media/image1.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ice.org.uk/guidance/ta505" TargetMode="External"/><Relationship Id="rId24" Type="http://schemas.openxmlformats.org/officeDocument/2006/relationships/hyperlink" Target="http://www.northernlincolnshireapc.nhs.uk/wp-content/uploads/2018/06/Pain-and-Symptom-Management-Guidance-in-the-Last-Days-of-Life-DCM029-1.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nice.org.uk/guidance/ta509" TargetMode="External"/><Relationship Id="rId23" Type="http://schemas.openxmlformats.org/officeDocument/2006/relationships/oleObject" Target="embeddings/Microsoft_Word_97_-_2003_Document1.doc"/><Relationship Id="rId28" Type="http://schemas.openxmlformats.org/officeDocument/2006/relationships/hyperlink" Target="mailto:aliya.turk@nhs.net" TargetMode="External"/><Relationship Id="rId10" Type="http://schemas.openxmlformats.org/officeDocument/2006/relationships/hyperlink" Target="https://www.sps.nhs.uk/wp-content/uploads/2017/11/Flash-Glucose-monitoring-System-RMOC-Statement-final-2.pdf" TargetMode="External"/><Relationship Id="rId19" Type="http://schemas.openxmlformats.org/officeDocument/2006/relationships/hyperlink" Target="https://www.nice.org.uk/guidance/hst7"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nice.org.uk/advice/mib110" TargetMode="External"/><Relationship Id="rId14" Type="http://schemas.openxmlformats.org/officeDocument/2006/relationships/hyperlink" Target="https://www.nice.org.uk/guidance/ta512" TargetMode="External"/><Relationship Id="rId22" Type="http://schemas.openxmlformats.org/officeDocument/2006/relationships/image" Target="media/image2.emf"/><Relationship Id="rId27" Type="http://schemas.openxmlformats.org/officeDocument/2006/relationships/hyperlink" Target="http://www.northernlincolnshireapc.nhs.uk/formulary-documents/formulary/chapter-2/"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59CC5-C6BB-4EB9-AF07-77F0A6F4A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1833</Words>
  <Characters>10449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NLG NHS Foundation Trust</Company>
  <LinksUpToDate>false</LinksUpToDate>
  <CharactersWithSpaces>12258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Aliya Turk</dc:creator>
  <cp:lastModifiedBy>Aliya Turk</cp:lastModifiedBy>
  <cp:revision>2</cp:revision>
  <dcterms:created xsi:type="dcterms:W3CDTF">2018-06-29T11:51:00Z</dcterms:created>
  <dcterms:modified xsi:type="dcterms:W3CDTF">2018-06-29T11:51:00Z</dcterms:modified>
</cp:coreProperties>
</file>