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6F78EA" w:rsidP="000F7B04">
      <w:pPr>
        <w:pStyle w:val="NoSpacing"/>
        <w:jc w:val="center"/>
        <w:rPr>
          <w:rFonts w:ascii="Arial" w:hAnsi="Arial" w:cs="Arial"/>
          <w:b/>
          <w:bCs/>
          <w:sz w:val="24"/>
          <w:szCs w:val="24"/>
        </w:rPr>
      </w:pPr>
      <w:r>
        <w:rPr>
          <w:rFonts w:ascii="Arial" w:hAnsi="Arial" w:cs="Arial"/>
          <w:b/>
          <w:bCs/>
          <w:sz w:val="24"/>
          <w:szCs w:val="24"/>
        </w:rPr>
        <w:t>8 June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031EC4">
        <w:rPr>
          <w:rFonts w:ascii="Arial" w:hAnsi="Arial" w:cs="Arial"/>
          <w:b/>
          <w:bCs/>
          <w:sz w:val="24"/>
          <w:szCs w:val="24"/>
        </w:rPr>
        <w:t>Main Meeting Room</w:t>
      </w:r>
      <w:r w:rsidR="006A0078">
        <w:rPr>
          <w:rFonts w:ascii="Arial" w:hAnsi="Arial" w:cs="Arial"/>
          <w:b/>
          <w:bCs/>
          <w:sz w:val="24"/>
          <w:szCs w:val="24"/>
        </w:rPr>
        <w:t>, Freshney Green</w:t>
      </w:r>
      <w:r w:rsidR="006F78EA">
        <w:rPr>
          <w:rFonts w:ascii="Arial" w:hAnsi="Arial" w:cs="Arial"/>
          <w:b/>
          <w:bCs/>
          <w:sz w:val="24"/>
          <w:szCs w:val="24"/>
        </w:rPr>
        <w:t>, Grimsby</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Default="009B631F" w:rsidP="00937929">
      <w:pPr>
        <w:pStyle w:val="NoSpacing"/>
        <w:spacing w:line="276" w:lineRule="auto"/>
        <w:jc w:val="both"/>
        <w:rPr>
          <w:rFonts w:ascii="Arial" w:hAnsi="Arial" w:cs="Arial"/>
          <w:bCs/>
          <w:sz w:val="20"/>
          <w:szCs w:val="20"/>
        </w:rPr>
      </w:pPr>
    </w:p>
    <w:p w:rsidR="006A0078" w:rsidRDefault="006A0078" w:rsidP="006A0078">
      <w:pPr>
        <w:pStyle w:val="NoSpacing"/>
        <w:spacing w:line="276" w:lineRule="auto"/>
        <w:jc w:val="both"/>
        <w:rPr>
          <w:rFonts w:ascii="Arial" w:hAnsi="Arial" w:cs="Arial"/>
        </w:rPr>
      </w:pPr>
      <w:r w:rsidRPr="005F7921">
        <w:rPr>
          <w:rFonts w:ascii="Arial" w:hAnsi="Arial" w:cs="Arial"/>
        </w:rPr>
        <w:t>Paul Fieldhouse (PF) -  Chief Pharmacist &amp; Clinical Lead for Medicines Optimisation (NLaG) (Chair)</w:t>
      </w:r>
    </w:p>
    <w:p w:rsidR="005453C7" w:rsidRPr="005F7921" w:rsidRDefault="005453C7" w:rsidP="005453C7">
      <w:pPr>
        <w:pStyle w:val="NoSpacing"/>
        <w:spacing w:line="276" w:lineRule="auto"/>
        <w:jc w:val="both"/>
        <w:rPr>
          <w:rFonts w:ascii="Arial" w:hAnsi="Arial" w:cs="Arial"/>
        </w:rPr>
      </w:pPr>
      <w:r w:rsidRPr="005F7921">
        <w:rPr>
          <w:rFonts w:ascii="Arial" w:hAnsi="Arial" w:cs="Arial"/>
        </w:rPr>
        <w:t>Dr Chathley, General Practitioner (North East Lincs)</w:t>
      </w:r>
    </w:p>
    <w:p w:rsidR="00E43C3B" w:rsidRPr="005F7921" w:rsidRDefault="00E43C3B" w:rsidP="006A0078">
      <w:pPr>
        <w:pStyle w:val="NoSpacing"/>
        <w:spacing w:line="276" w:lineRule="auto"/>
        <w:jc w:val="both"/>
        <w:rPr>
          <w:rFonts w:ascii="Arial" w:hAnsi="Arial" w:cs="Arial"/>
        </w:rPr>
      </w:pPr>
      <w:r w:rsidRPr="005F7921">
        <w:rPr>
          <w:rFonts w:ascii="Arial" w:hAnsi="Arial" w:cs="Arial"/>
        </w:rPr>
        <w:t>Janet Clark (JC) – LPC Pharmacist Representative</w:t>
      </w:r>
    </w:p>
    <w:p w:rsidR="002F2E74" w:rsidRPr="005F7921" w:rsidRDefault="002F2E74" w:rsidP="002F2E74">
      <w:pPr>
        <w:pStyle w:val="NoSpacing"/>
        <w:spacing w:line="276" w:lineRule="auto"/>
        <w:jc w:val="both"/>
        <w:rPr>
          <w:rFonts w:ascii="Arial" w:hAnsi="Arial" w:cs="Arial"/>
        </w:rPr>
      </w:pPr>
      <w:r w:rsidRPr="005F7921">
        <w:rPr>
          <w:rFonts w:ascii="Arial" w:hAnsi="Arial" w:cs="Arial"/>
        </w:rPr>
        <w:t xml:space="preserve">Jim Devlin (JD) – Medicines and Therapeutics Committee Chairman (NLaG) </w:t>
      </w:r>
    </w:p>
    <w:p w:rsidR="006965B0" w:rsidRPr="005F7921" w:rsidRDefault="006A0078" w:rsidP="006A0078">
      <w:pPr>
        <w:pStyle w:val="NoSpacing"/>
        <w:jc w:val="both"/>
        <w:rPr>
          <w:rFonts w:ascii="Arial" w:hAnsi="Arial" w:cs="Arial"/>
        </w:rPr>
      </w:pPr>
      <w:r w:rsidRPr="005F7921">
        <w:rPr>
          <w:rFonts w:ascii="Arial" w:hAnsi="Arial" w:cs="Arial"/>
        </w:rPr>
        <w:t>Paulash Haider (PH) - Procurement Pharmacist (NLaG)</w:t>
      </w:r>
    </w:p>
    <w:p w:rsidR="00142C86" w:rsidRPr="005F7921" w:rsidRDefault="00142C86" w:rsidP="00142C86">
      <w:pPr>
        <w:pStyle w:val="NoSpacing"/>
        <w:spacing w:line="276" w:lineRule="auto"/>
        <w:jc w:val="both"/>
        <w:rPr>
          <w:rFonts w:ascii="Arial" w:hAnsi="Arial" w:cs="Arial"/>
        </w:rPr>
      </w:pPr>
      <w:r w:rsidRPr="005F7921">
        <w:rPr>
          <w:rFonts w:ascii="Arial" w:hAnsi="Arial" w:cs="Arial"/>
        </w:rPr>
        <w:t xml:space="preserve">Andy Karvot (AK) – Consultant Pharmacist Antimicrobials (NLaG) </w:t>
      </w:r>
    </w:p>
    <w:p w:rsidR="00E43C3B" w:rsidRPr="005F7921" w:rsidRDefault="00E43C3B" w:rsidP="00142C86">
      <w:pPr>
        <w:pStyle w:val="NoSpacing"/>
        <w:spacing w:line="276" w:lineRule="auto"/>
        <w:jc w:val="both"/>
        <w:rPr>
          <w:rFonts w:ascii="Arial" w:hAnsi="Arial" w:cs="Arial"/>
        </w:rPr>
      </w:pPr>
      <w:r w:rsidRPr="005F7921">
        <w:rPr>
          <w:rFonts w:ascii="Arial" w:hAnsi="Arial" w:cs="Arial"/>
        </w:rPr>
        <w:t>Eddie McCabe (EMc) – Assistant Director of Finance, Contracts &amp; Procurement (NECS)</w:t>
      </w:r>
    </w:p>
    <w:p w:rsidR="006A0078" w:rsidRPr="005F7921" w:rsidRDefault="00DE64FA" w:rsidP="006A0078">
      <w:pPr>
        <w:pStyle w:val="NoSpacing"/>
        <w:spacing w:line="276" w:lineRule="auto"/>
        <w:jc w:val="both"/>
        <w:rPr>
          <w:rFonts w:ascii="Arial" w:hAnsi="Arial" w:cs="Arial"/>
        </w:rPr>
      </w:pPr>
      <w:r w:rsidRPr="005F7921">
        <w:rPr>
          <w:rFonts w:ascii="Arial" w:hAnsi="Arial" w:cs="Arial"/>
        </w:rPr>
        <w:t xml:space="preserve">Gemma McNally (GM) – Strategic Lead Pharmacist (NECS) </w:t>
      </w:r>
      <w:r w:rsidRPr="005F7921">
        <w:rPr>
          <w:rFonts w:ascii="Arial" w:hAnsi="Arial" w:cs="Arial"/>
        </w:rPr>
        <w:tab/>
      </w:r>
      <w:r w:rsidR="006A0078" w:rsidRPr="005F7921">
        <w:rPr>
          <w:rFonts w:ascii="Arial" w:hAnsi="Arial" w:cs="Arial"/>
        </w:rPr>
        <w:t xml:space="preserve"> </w:t>
      </w:r>
    </w:p>
    <w:p w:rsidR="002F2E74" w:rsidRPr="005F7921" w:rsidRDefault="002F2E74" w:rsidP="002F2E74">
      <w:pPr>
        <w:pStyle w:val="NoSpacing"/>
        <w:spacing w:line="276" w:lineRule="auto"/>
        <w:jc w:val="both"/>
        <w:rPr>
          <w:rFonts w:ascii="Arial" w:hAnsi="Arial" w:cs="Arial"/>
        </w:rPr>
      </w:pPr>
      <w:r w:rsidRPr="005F7921">
        <w:rPr>
          <w:rFonts w:ascii="Arial" w:hAnsi="Arial" w:cs="Arial"/>
        </w:rPr>
        <w:t>Dr Ramesh, General Practitioner (North East Lincs)</w:t>
      </w:r>
    </w:p>
    <w:p w:rsidR="002F2E74" w:rsidRPr="005F7921" w:rsidRDefault="002F2E74" w:rsidP="002F2E74">
      <w:pPr>
        <w:pStyle w:val="NoSpacing"/>
        <w:spacing w:line="276" w:lineRule="auto"/>
        <w:jc w:val="both"/>
        <w:rPr>
          <w:rFonts w:ascii="Arial" w:hAnsi="Arial" w:cs="Arial"/>
        </w:rPr>
      </w:pPr>
      <w:r w:rsidRPr="005F7921">
        <w:rPr>
          <w:rFonts w:ascii="Arial" w:hAnsi="Arial" w:cs="Arial"/>
        </w:rPr>
        <w:t>Sarah Spooner (SS) – Clinical Lead Care Plus Group</w:t>
      </w:r>
      <w:r w:rsidRPr="005F7921">
        <w:rPr>
          <w:rFonts w:ascii="Arial" w:hAnsi="Arial" w:cs="Arial"/>
        </w:rPr>
        <w:tab/>
      </w:r>
    </w:p>
    <w:p w:rsidR="005F7921" w:rsidRPr="005F7921" w:rsidRDefault="005F7921" w:rsidP="005F7921">
      <w:pPr>
        <w:pStyle w:val="NoSpacing"/>
        <w:spacing w:line="276" w:lineRule="auto"/>
        <w:jc w:val="both"/>
        <w:rPr>
          <w:rFonts w:ascii="Arial" w:hAnsi="Arial" w:cs="Arial"/>
        </w:rPr>
      </w:pPr>
      <w:r w:rsidRPr="005F7921">
        <w:rPr>
          <w:rFonts w:ascii="Arial" w:hAnsi="Arial" w:cs="Arial"/>
        </w:rPr>
        <w:t>Rachel Staniforth (RS) – Senior Pharmacist, North East Lincolnshire (NECS)</w:t>
      </w:r>
    </w:p>
    <w:p w:rsidR="00766E20" w:rsidRPr="005F7921" w:rsidRDefault="009B631F" w:rsidP="00937929">
      <w:pPr>
        <w:pStyle w:val="NoSpacing"/>
        <w:spacing w:line="276" w:lineRule="auto"/>
        <w:jc w:val="both"/>
        <w:rPr>
          <w:rFonts w:ascii="Arial" w:hAnsi="Arial" w:cs="Arial"/>
          <w:bCs/>
        </w:rPr>
      </w:pPr>
      <w:r w:rsidRPr="005F7921">
        <w:rPr>
          <w:rFonts w:ascii="Arial" w:hAnsi="Arial" w:cs="Arial"/>
          <w:bCs/>
        </w:rPr>
        <w:t>Mrs Aliya Turk (AT) – Professional Secretary APC</w:t>
      </w:r>
    </w:p>
    <w:p w:rsidR="009B631F" w:rsidRDefault="009B631F" w:rsidP="00937929">
      <w:pPr>
        <w:pStyle w:val="NoSpacing"/>
        <w:spacing w:line="276" w:lineRule="auto"/>
        <w:jc w:val="both"/>
        <w:rPr>
          <w:rFonts w:ascii="Arial" w:hAnsi="Arial" w:cs="Arial"/>
          <w:bCs/>
          <w:sz w:val="20"/>
          <w:szCs w:val="20"/>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6A0078" w:rsidP="000F7B04">
      <w:pPr>
        <w:pStyle w:val="NoSpacing"/>
        <w:rPr>
          <w:rFonts w:ascii="Arial" w:hAnsi="Arial" w:cs="Arial"/>
        </w:rPr>
      </w:pPr>
      <w:r>
        <w:rPr>
          <w:rFonts w:ascii="Arial" w:hAnsi="Arial" w:cs="Arial"/>
        </w:rPr>
        <w:t>Joanne Rowson, Pharmacy Secretary (NLaG)</w:t>
      </w:r>
    </w:p>
    <w:p w:rsidR="009B631F" w:rsidRDefault="009B631F" w:rsidP="000F7B04">
      <w:pPr>
        <w:pStyle w:val="NoSpacing"/>
        <w:rPr>
          <w:rFonts w:ascii="Arial" w:hAnsi="Arial" w:cs="Arial"/>
          <w:sz w:val="20"/>
          <w:szCs w:val="20"/>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766E20" w:rsidRDefault="001D145F" w:rsidP="00766E20">
      <w:pPr>
        <w:pStyle w:val="NoSpacing"/>
        <w:spacing w:line="276" w:lineRule="auto"/>
        <w:jc w:val="both"/>
        <w:rPr>
          <w:rFonts w:ascii="Arial" w:hAnsi="Arial" w:cs="Arial"/>
        </w:rPr>
      </w:pPr>
      <w:r w:rsidRPr="0088032D">
        <w:rPr>
          <w:rFonts w:ascii="Arial" w:hAnsi="Arial" w:cs="Arial"/>
        </w:rPr>
        <w:t xml:space="preserve">Elizabeth Barron (EB) </w:t>
      </w:r>
      <w:r w:rsidR="00522B94" w:rsidRPr="0088032D">
        <w:rPr>
          <w:rFonts w:ascii="Arial" w:hAnsi="Arial" w:cs="Arial"/>
        </w:rPr>
        <w:t>–</w:t>
      </w:r>
      <w:r w:rsidRPr="0088032D">
        <w:rPr>
          <w:rFonts w:ascii="Arial" w:hAnsi="Arial" w:cs="Arial"/>
        </w:rPr>
        <w:t xml:space="preserve"> R</w:t>
      </w:r>
      <w:r w:rsidR="00582C5C" w:rsidRPr="0088032D">
        <w:rPr>
          <w:rFonts w:ascii="Arial" w:hAnsi="Arial" w:cs="Arial"/>
        </w:rPr>
        <w:t>D</w:t>
      </w:r>
      <w:r w:rsidRPr="0088032D">
        <w:rPr>
          <w:rFonts w:ascii="Arial" w:hAnsi="Arial" w:cs="Arial"/>
        </w:rPr>
        <w:t>ash</w:t>
      </w:r>
    </w:p>
    <w:p w:rsidR="005F7921" w:rsidRPr="0088032D" w:rsidRDefault="005F7921" w:rsidP="005F7921">
      <w:pPr>
        <w:pStyle w:val="NoSpacing"/>
        <w:jc w:val="both"/>
        <w:rPr>
          <w:rFonts w:ascii="Arial" w:hAnsi="Arial" w:cs="Arial"/>
        </w:rPr>
      </w:pPr>
      <w:r w:rsidRPr="0088032D">
        <w:rPr>
          <w:rFonts w:ascii="Arial" w:hAnsi="Arial" w:cs="Arial"/>
        </w:rPr>
        <w:t>Margaret Henry</w:t>
      </w:r>
      <w:r>
        <w:rPr>
          <w:rFonts w:ascii="Arial" w:hAnsi="Arial" w:cs="Arial"/>
        </w:rPr>
        <w:t xml:space="preserve"> (MH) -</w:t>
      </w:r>
      <w:r w:rsidRPr="0088032D">
        <w:rPr>
          <w:rFonts w:ascii="Arial" w:hAnsi="Arial" w:cs="Arial"/>
        </w:rPr>
        <w:t xml:space="preserve"> North East Lincolnshire Community Representative for Prescribing</w:t>
      </w:r>
    </w:p>
    <w:p w:rsidR="0056002A" w:rsidRDefault="0056002A" w:rsidP="0056002A">
      <w:pPr>
        <w:pStyle w:val="NoSpacing"/>
        <w:spacing w:line="276" w:lineRule="auto"/>
        <w:jc w:val="both"/>
        <w:rPr>
          <w:rFonts w:ascii="Arial" w:hAnsi="Arial" w:cs="Arial"/>
        </w:rPr>
      </w:pPr>
      <w:r w:rsidRPr="0088032D">
        <w:rPr>
          <w:rFonts w:ascii="Arial" w:hAnsi="Arial" w:cs="Arial"/>
        </w:rPr>
        <w:t>Dr Kasaraneni (KK) – Local Medical Committee</w:t>
      </w:r>
    </w:p>
    <w:p w:rsidR="0056002A" w:rsidRPr="0088032D" w:rsidRDefault="0056002A" w:rsidP="0056002A">
      <w:pPr>
        <w:pStyle w:val="NoSpacing"/>
        <w:spacing w:line="276" w:lineRule="auto"/>
        <w:jc w:val="both"/>
        <w:rPr>
          <w:rFonts w:ascii="Arial" w:hAnsi="Arial" w:cs="Arial"/>
        </w:rPr>
      </w:pPr>
      <w:r w:rsidRPr="0088032D">
        <w:rPr>
          <w:rFonts w:ascii="Arial" w:hAnsi="Arial" w:cs="Arial"/>
        </w:rPr>
        <w:t>Miss G Kaur (GK) – Consultant Surgeon</w:t>
      </w:r>
    </w:p>
    <w:p w:rsidR="009F47CA" w:rsidRDefault="009F47CA" w:rsidP="009F47CA">
      <w:pPr>
        <w:pStyle w:val="NoSpacing"/>
        <w:spacing w:line="276" w:lineRule="auto"/>
        <w:jc w:val="both"/>
        <w:rPr>
          <w:rFonts w:ascii="Arial" w:hAnsi="Arial" w:cs="Arial"/>
        </w:rPr>
      </w:pPr>
      <w:r w:rsidRPr="0088032D">
        <w:rPr>
          <w:rFonts w:ascii="Arial" w:hAnsi="Arial" w:cs="Arial"/>
        </w:rPr>
        <w:t>Dr Neveen Samuel (NS) – Prescribing Lead for North Lincolnshire CCG</w:t>
      </w:r>
    </w:p>
    <w:p w:rsidR="005F7921" w:rsidRDefault="005F7921" w:rsidP="005F7921">
      <w:pPr>
        <w:pStyle w:val="NoSpacing"/>
        <w:spacing w:line="276" w:lineRule="auto"/>
        <w:jc w:val="both"/>
        <w:rPr>
          <w:rFonts w:ascii="Arial" w:hAnsi="Arial" w:cs="Arial"/>
        </w:rPr>
      </w:pPr>
      <w:r w:rsidRPr="0088032D">
        <w:rPr>
          <w:rFonts w:ascii="Arial" w:hAnsi="Arial" w:cs="Arial"/>
        </w:rPr>
        <w:t>Hazel Tait (HT) -  Assistant Contracts Manager (NLaG)</w:t>
      </w:r>
    </w:p>
    <w:p w:rsidR="00050991" w:rsidRDefault="00050991" w:rsidP="00E7178F">
      <w:pPr>
        <w:pStyle w:val="NoSpacing"/>
        <w:spacing w:line="276" w:lineRule="auto"/>
        <w:jc w:val="both"/>
        <w:rPr>
          <w:rFonts w:ascii="Arial" w:hAnsi="Arial" w:cs="Arial"/>
        </w:rPr>
      </w:pPr>
      <w:r>
        <w:rPr>
          <w:rFonts w:ascii="Arial" w:hAnsi="Arial" w:cs="Arial"/>
        </w:rPr>
        <w:t>Simon West</w:t>
      </w:r>
      <w:r w:rsidR="005F7921">
        <w:rPr>
          <w:rFonts w:ascii="Arial" w:hAnsi="Arial" w:cs="Arial"/>
        </w:rPr>
        <w:t xml:space="preserve"> (SW) - </w:t>
      </w:r>
      <w:r>
        <w:rPr>
          <w:rFonts w:ascii="Arial" w:hAnsi="Arial" w:cs="Arial"/>
        </w:rPr>
        <w:t xml:space="preserve"> Finance Manager, Financial Strategy &amp; Assurance (NL CCG)</w:t>
      </w:r>
    </w:p>
    <w:p w:rsidR="009F47CA" w:rsidRDefault="009F47CA" w:rsidP="00766E20">
      <w:pPr>
        <w:pStyle w:val="NoSpacing"/>
        <w:spacing w:line="276" w:lineRule="auto"/>
        <w:jc w:val="both"/>
        <w:rPr>
          <w:rFonts w:ascii="Arial" w:hAnsi="Arial" w:cs="Arial"/>
        </w:rPr>
      </w:pPr>
    </w:p>
    <w:p w:rsidR="00E43C3B" w:rsidRPr="0088032D" w:rsidRDefault="00E43C3B" w:rsidP="00766E20">
      <w:pPr>
        <w:pStyle w:val="NoSpacing"/>
        <w:spacing w:line="276" w:lineRule="auto"/>
        <w:jc w:val="both"/>
        <w:rPr>
          <w:rFonts w:ascii="Arial" w:hAnsi="Arial" w:cs="Arial"/>
        </w:rPr>
      </w:pPr>
      <w:r>
        <w:rPr>
          <w:rFonts w:ascii="Arial" w:hAnsi="Arial" w:cs="Arial"/>
        </w:rPr>
        <w:t>It was noted that the meeting was not quorate due to the lack of GP representation from North Lincolnshire CCG.</w:t>
      </w:r>
    </w:p>
    <w:p w:rsidR="00142C86" w:rsidRPr="00BF6C04" w:rsidRDefault="00142C86" w:rsidP="00766E20">
      <w:pPr>
        <w:pStyle w:val="NoSpacing"/>
        <w:spacing w:line="276" w:lineRule="auto"/>
        <w:jc w:val="both"/>
        <w:rPr>
          <w:rFonts w:ascii="Arial" w:hAnsi="Arial" w:cs="Arial"/>
          <w:i/>
        </w:rPr>
      </w:pPr>
    </w:p>
    <w:p w:rsidR="000F7B04" w:rsidRPr="00715616" w:rsidRDefault="000F7B04" w:rsidP="000F7B04">
      <w:pPr>
        <w:pStyle w:val="NoSpacing"/>
        <w:jc w:val="both"/>
        <w:rPr>
          <w:rFonts w:ascii="Arial" w:hAnsi="Arial" w:cs="Arial"/>
          <w:shd w:val="clear" w:color="auto" w:fill="FFFF00"/>
        </w:rPr>
      </w:pPr>
      <w:r w:rsidRPr="00715616">
        <w:rPr>
          <w:rFonts w:ascii="Arial" w:hAnsi="Arial" w:cs="Arial"/>
          <w:b/>
        </w:rPr>
        <w:t>3</w:t>
      </w:r>
      <w:r w:rsidRPr="00715616">
        <w:rPr>
          <w:rFonts w:ascii="Arial" w:hAnsi="Arial" w:cs="Arial"/>
          <w:b/>
        </w:rPr>
        <w:tab/>
      </w: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3A2239" w:rsidRDefault="004847EC" w:rsidP="00FD36B8">
      <w:pPr>
        <w:pStyle w:val="NoSpacing"/>
        <w:jc w:val="both"/>
        <w:rPr>
          <w:rFonts w:ascii="Arial" w:hAnsi="Arial" w:cs="Arial"/>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9F47CA">
        <w:rPr>
          <w:rFonts w:ascii="Arial" w:hAnsi="Arial" w:cs="Arial"/>
        </w:rPr>
        <w:t>11 May</w:t>
      </w:r>
      <w:r w:rsidR="006A0078">
        <w:rPr>
          <w:rFonts w:ascii="Arial" w:hAnsi="Arial" w:cs="Arial"/>
        </w:rPr>
        <w:t xml:space="preserve"> 2017</w:t>
      </w:r>
      <w:r w:rsidRPr="00715616">
        <w:rPr>
          <w:rFonts w:ascii="Arial" w:hAnsi="Arial" w:cs="Arial"/>
        </w:rPr>
        <w:t xml:space="preserve"> were taken as read and accepted as a true recor</w:t>
      </w:r>
      <w:r>
        <w:rPr>
          <w:rFonts w:ascii="Arial" w:hAnsi="Arial" w:cs="Arial"/>
        </w:rPr>
        <w:t>d.</w:t>
      </w:r>
      <w:r w:rsidR="00F967ED">
        <w:rPr>
          <w:rFonts w:ascii="Arial" w:hAnsi="Arial" w:cs="Arial"/>
        </w:rPr>
        <w:t xml:space="preserve">   </w:t>
      </w:r>
      <w:r w:rsidR="00025361">
        <w:rPr>
          <w:rFonts w:ascii="Arial" w:hAnsi="Arial" w:cs="Arial"/>
        </w:rPr>
        <w:t>It was noted that Per</w:t>
      </w:r>
      <w:r w:rsidR="003A2239">
        <w:rPr>
          <w:rFonts w:ascii="Arial" w:hAnsi="Arial" w:cs="Arial"/>
        </w:rPr>
        <w:t>a</w:t>
      </w:r>
      <w:r w:rsidR="00025361">
        <w:rPr>
          <w:rFonts w:ascii="Arial" w:hAnsi="Arial" w:cs="Arial"/>
        </w:rPr>
        <w:t>mpa</w:t>
      </w:r>
      <w:r w:rsidR="003A2239">
        <w:rPr>
          <w:rFonts w:ascii="Arial" w:hAnsi="Arial" w:cs="Arial"/>
        </w:rPr>
        <w:t>ne</w:t>
      </w:r>
      <w:r w:rsidR="00025361">
        <w:rPr>
          <w:rFonts w:ascii="Arial" w:hAnsi="Arial" w:cs="Arial"/>
        </w:rPr>
        <w:t xml:space="preserve">l should state ‘Secondary Care Specialist Initiation Only’.  This would be an amber indication.  It was noted at this point that all future decisions would be  given a RAG rating at the point of inclusion in the formulary.  </w:t>
      </w:r>
      <w:r w:rsidR="003A2239">
        <w:rPr>
          <w:rFonts w:ascii="Arial" w:hAnsi="Arial" w:cs="Arial"/>
        </w:rPr>
        <w:t xml:space="preserve">It was also noted that </w:t>
      </w:r>
      <w:r w:rsidR="00025361">
        <w:rPr>
          <w:rFonts w:ascii="Arial" w:hAnsi="Arial" w:cs="Arial"/>
        </w:rPr>
        <w:t>Methanimine Hippurate costs approximately £20</w:t>
      </w:r>
      <w:r w:rsidR="003A2239">
        <w:rPr>
          <w:rFonts w:ascii="Arial" w:hAnsi="Arial" w:cs="Arial"/>
        </w:rPr>
        <w:t xml:space="preserve">.  </w:t>
      </w:r>
    </w:p>
    <w:p w:rsidR="004847EC" w:rsidRPr="003A2239" w:rsidRDefault="003A2239" w:rsidP="003A2239">
      <w:pPr>
        <w:pStyle w:val="NoSpacing"/>
        <w:jc w:val="right"/>
        <w:rPr>
          <w:rFonts w:ascii="Arial" w:hAnsi="Arial" w:cs="Arial"/>
          <w:b/>
        </w:rPr>
      </w:pPr>
      <w:r w:rsidRPr="003A2239">
        <w:rPr>
          <w:rFonts w:ascii="Arial" w:hAnsi="Arial" w:cs="Arial"/>
          <w:b/>
        </w:rPr>
        <w:t>Action: JR</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3A2239" w:rsidRDefault="009F47CA" w:rsidP="009F47CA">
      <w:pPr>
        <w:pStyle w:val="NoSpacing"/>
        <w:numPr>
          <w:ilvl w:val="0"/>
          <w:numId w:val="13"/>
        </w:numPr>
        <w:jc w:val="both"/>
        <w:rPr>
          <w:rFonts w:ascii="Arial" w:hAnsi="Arial" w:cs="Arial"/>
        </w:rPr>
      </w:pPr>
      <w:r>
        <w:rPr>
          <w:rFonts w:ascii="Arial" w:hAnsi="Arial" w:cs="Arial"/>
          <w:u w:val="single"/>
        </w:rPr>
        <w:t>Primary Care Antimicrobial Guidance</w:t>
      </w:r>
      <w:r w:rsidR="00F82876" w:rsidRPr="00FD36B8">
        <w:rPr>
          <w:rFonts w:ascii="Arial" w:hAnsi="Arial" w:cs="Arial"/>
        </w:rPr>
        <w:t xml:space="preserve"> –</w:t>
      </w:r>
      <w:r w:rsidR="00025361">
        <w:rPr>
          <w:rFonts w:ascii="Arial" w:hAnsi="Arial" w:cs="Arial"/>
        </w:rPr>
        <w:t xml:space="preserve"> It was agreed that GMc would circulate the final document following the meeting for information.  </w:t>
      </w:r>
    </w:p>
    <w:p w:rsidR="00BF6C04" w:rsidRPr="00177190" w:rsidRDefault="00025361" w:rsidP="003A2239">
      <w:pPr>
        <w:pStyle w:val="NoSpacing"/>
        <w:ind w:left="720"/>
        <w:jc w:val="right"/>
        <w:rPr>
          <w:rFonts w:ascii="Arial" w:hAnsi="Arial" w:cs="Arial"/>
        </w:rPr>
      </w:pPr>
      <w:r w:rsidRPr="00025361">
        <w:rPr>
          <w:rFonts w:ascii="Arial" w:hAnsi="Arial" w:cs="Arial"/>
          <w:b/>
        </w:rPr>
        <w:t>Action GMc</w:t>
      </w:r>
    </w:p>
    <w:p w:rsidR="00177190" w:rsidRDefault="00177190" w:rsidP="00177190">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Pr>
          <w:rFonts w:ascii="Arial" w:hAnsi="Arial" w:cs="Arial"/>
          <w:u w:val="single"/>
        </w:rPr>
        <w:t>Constipation Pathway</w:t>
      </w:r>
      <w:r w:rsidR="00025361">
        <w:rPr>
          <w:rFonts w:ascii="Arial" w:hAnsi="Arial" w:cs="Arial"/>
          <w:u w:val="single"/>
        </w:rPr>
        <w:t xml:space="preserve"> – </w:t>
      </w:r>
      <w:r w:rsidR="00025361">
        <w:rPr>
          <w:rFonts w:ascii="Arial" w:hAnsi="Arial" w:cs="Arial"/>
        </w:rPr>
        <w:t xml:space="preserve">This was deferred until next month.  </w:t>
      </w:r>
    </w:p>
    <w:p w:rsidR="00177190" w:rsidRPr="00AE7ED9" w:rsidRDefault="00AE7ED9" w:rsidP="00AE7ED9">
      <w:pPr>
        <w:pStyle w:val="NoSpacing"/>
        <w:ind w:left="720"/>
        <w:jc w:val="right"/>
        <w:rPr>
          <w:rFonts w:ascii="Arial" w:hAnsi="Arial" w:cs="Arial"/>
          <w:b/>
        </w:rPr>
      </w:pPr>
      <w:r w:rsidRPr="00AE7ED9">
        <w:rPr>
          <w:rFonts w:ascii="Arial" w:hAnsi="Arial" w:cs="Arial"/>
          <w:b/>
        </w:rPr>
        <w:t>Action: RS</w:t>
      </w:r>
    </w:p>
    <w:p w:rsidR="00AE7ED9" w:rsidRDefault="00AE7ED9" w:rsidP="00177190">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sidRPr="00177190">
        <w:rPr>
          <w:rFonts w:ascii="Arial" w:hAnsi="Arial" w:cs="Arial"/>
          <w:u w:val="single"/>
        </w:rPr>
        <w:t>Trans Anal Irrigation Pathway</w:t>
      </w:r>
      <w:r w:rsidR="00025361">
        <w:rPr>
          <w:rFonts w:ascii="Arial" w:hAnsi="Arial" w:cs="Arial"/>
        </w:rPr>
        <w:t xml:space="preserve"> – A meeting was planned for RS, GMc and Miss Kaur to meet.</w:t>
      </w:r>
    </w:p>
    <w:p w:rsidR="00177190" w:rsidRDefault="00177190" w:rsidP="00177190">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sidRPr="00177190">
        <w:rPr>
          <w:rFonts w:ascii="Arial" w:hAnsi="Arial" w:cs="Arial"/>
          <w:u w:val="single"/>
        </w:rPr>
        <w:t>Review of the use of NOACs</w:t>
      </w:r>
      <w:r w:rsidR="00025361">
        <w:rPr>
          <w:rFonts w:ascii="Arial" w:hAnsi="Arial" w:cs="Arial"/>
        </w:rPr>
        <w:t xml:space="preserve"> – PH had shared data with </w:t>
      </w:r>
      <w:proofErr w:type="spellStart"/>
      <w:r w:rsidR="00025361">
        <w:rPr>
          <w:rFonts w:ascii="Arial" w:hAnsi="Arial" w:cs="Arial"/>
        </w:rPr>
        <w:t>GMc</w:t>
      </w:r>
      <w:proofErr w:type="spellEnd"/>
      <w:r w:rsidR="004D5A6D">
        <w:rPr>
          <w:rFonts w:ascii="Arial" w:hAnsi="Arial" w:cs="Arial"/>
        </w:rPr>
        <w:t xml:space="preserve"> but as yet Primary Care data had not been shared</w:t>
      </w:r>
      <w:r w:rsidR="00025361">
        <w:rPr>
          <w:rFonts w:ascii="Arial" w:hAnsi="Arial" w:cs="Arial"/>
        </w:rPr>
        <w:t>.</w:t>
      </w:r>
      <w:r w:rsidR="004D5A6D">
        <w:rPr>
          <w:rFonts w:ascii="Arial" w:hAnsi="Arial" w:cs="Arial"/>
        </w:rPr>
        <w:t xml:space="preserve">  They had discussed this and it was noted that a range of novel oral anticoagulants are in use across the health economy.  A strategy for the use of NOACs reflecting latest published evidence is required for discussion at a future APC.</w:t>
      </w:r>
      <w:r w:rsidR="00025361">
        <w:rPr>
          <w:rFonts w:ascii="Arial" w:hAnsi="Arial" w:cs="Arial"/>
        </w:rPr>
        <w:t xml:space="preserve">  The action was closed for now.</w:t>
      </w:r>
    </w:p>
    <w:p w:rsidR="00177190" w:rsidRDefault="00177190" w:rsidP="00177190">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sidRPr="00177190">
        <w:rPr>
          <w:rFonts w:ascii="Arial" w:hAnsi="Arial" w:cs="Arial"/>
          <w:u w:val="single"/>
        </w:rPr>
        <w:t>Chapter 11</w:t>
      </w:r>
      <w:r w:rsidR="00025361">
        <w:rPr>
          <w:rFonts w:ascii="Arial" w:hAnsi="Arial" w:cs="Arial"/>
        </w:rPr>
        <w:t xml:space="preserve"> – It was agreed that the chapter as it stands was approved and any further additions would be considered in the normal way.  It was agreed that </w:t>
      </w:r>
      <w:r w:rsidR="00EC783D">
        <w:rPr>
          <w:rFonts w:ascii="Arial" w:hAnsi="Arial" w:cs="Arial"/>
        </w:rPr>
        <w:t>as Net</w:t>
      </w:r>
      <w:r w:rsidR="00025361">
        <w:rPr>
          <w:rFonts w:ascii="Arial" w:hAnsi="Arial" w:cs="Arial"/>
        </w:rPr>
        <w:t xml:space="preserve"> Formulary </w:t>
      </w:r>
      <w:r w:rsidR="00AE7ED9">
        <w:rPr>
          <w:rFonts w:ascii="Arial" w:hAnsi="Arial" w:cs="Arial"/>
        </w:rPr>
        <w:t xml:space="preserve">would be in existence </w:t>
      </w:r>
      <w:r w:rsidR="00025361">
        <w:rPr>
          <w:rFonts w:ascii="Arial" w:hAnsi="Arial" w:cs="Arial"/>
        </w:rPr>
        <w:t>from tomorrow this would be the first chapter</w:t>
      </w:r>
      <w:r w:rsidR="00AE7ED9">
        <w:rPr>
          <w:rFonts w:ascii="Arial" w:hAnsi="Arial" w:cs="Arial"/>
        </w:rPr>
        <w:t xml:space="preserve"> to be populated.</w:t>
      </w:r>
      <w:r w:rsidR="00177190">
        <w:rPr>
          <w:rFonts w:ascii="Arial" w:hAnsi="Arial" w:cs="Arial"/>
        </w:rPr>
        <w:t xml:space="preserve">  </w:t>
      </w:r>
      <w:r w:rsidR="00AE7ED9">
        <w:rPr>
          <w:rFonts w:ascii="Arial" w:hAnsi="Arial" w:cs="Arial"/>
        </w:rPr>
        <w:t>F</w:t>
      </w:r>
      <w:r w:rsidR="00025361">
        <w:rPr>
          <w:rFonts w:ascii="Arial" w:hAnsi="Arial" w:cs="Arial"/>
        </w:rPr>
        <w:t xml:space="preserve">irst </w:t>
      </w:r>
      <w:r w:rsidR="00177190">
        <w:rPr>
          <w:rFonts w:ascii="Arial" w:hAnsi="Arial" w:cs="Arial"/>
        </w:rPr>
        <w:t>c</w:t>
      </w:r>
      <w:r w:rsidR="00025361">
        <w:rPr>
          <w:rFonts w:ascii="Arial" w:hAnsi="Arial" w:cs="Arial"/>
        </w:rPr>
        <w:t xml:space="preserve">hoice and </w:t>
      </w:r>
      <w:r w:rsidR="00177190">
        <w:rPr>
          <w:rFonts w:ascii="Arial" w:hAnsi="Arial" w:cs="Arial"/>
        </w:rPr>
        <w:t>s</w:t>
      </w:r>
      <w:r w:rsidR="00025361">
        <w:rPr>
          <w:rFonts w:ascii="Arial" w:hAnsi="Arial" w:cs="Arial"/>
        </w:rPr>
        <w:t xml:space="preserve">econd </w:t>
      </w:r>
      <w:r w:rsidR="00AE7ED9">
        <w:rPr>
          <w:rFonts w:ascii="Arial" w:hAnsi="Arial" w:cs="Arial"/>
        </w:rPr>
        <w:t>c</w:t>
      </w:r>
      <w:r w:rsidR="00025361">
        <w:rPr>
          <w:rFonts w:ascii="Arial" w:hAnsi="Arial" w:cs="Arial"/>
        </w:rPr>
        <w:t>hoice</w:t>
      </w:r>
      <w:r w:rsidR="00AE7ED9">
        <w:rPr>
          <w:rFonts w:ascii="Arial" w:hAnsi="Arial" w:cs="Arial"/>
        </w:rPr>
        <w:t xml:space="preserve"> listings</w:t>
      </w:r>
      <w:r w:rsidR="00177190">
        <w:rPr>
          <w:rFonts w:ascii="Arial" w:hAnsi="Arial" w:cs="Arial"/>
        </w:rPr>
        <w:t>, decided by Primary Care and replicated in Secondary Care.  It was noted that some products are expected to be used in Hospital and were on contract at special prices.  All decisions to be made by APC as the decision making body.  Some of the work with Chapters 1-4 recently brought to the APC by RS would be revisited for first/second choice.  The principals as to how first/choice second choices were made would be decided by GMc</w:t>
      </w:r>
      <w:r w:rsidR="00AE7ED9">
        <w:rPr>
          <w:rFonts w:ascii="Arial" w:hAnsi="Arial" w:cs="Arial"/>
        </w:rPr>
        <w:t>,</w:t>
      </w:r>
      <w:r w:rsidR="00177190">
        <w:rPr>
          <w:rFonts w:ascii="Arial" w:hAnsi="Arial" w:cs="Arial"/>
        </w:rPr>
        <w:t xml:space="preserve"> A</w:t>
      </w:r>
      <w:r w:rsidR="009D7365">
        <w:rPr>
          <w:rFonts w:ascii="Arial" w:hAnsi="Arial" w:cs="Arial"/>
        </w:rPr>
        <w:t>T and RS outside of the meeting to be brought back to APC for approval.</w:t>
      </w:r>
    </w:p>
    <w:p w:rsidR="00AE7ED9" w:rsidRDefault="00AE7ED9" w:rsidP="00AE7ED9">
      <w:pPr>
        <w:pStyle w:val="ListParagraph"/>
        <w:jc w:val="right"/>
      </w:pPr>
      <w:r>
        <w:t>Action: GMc, AT &amp; RS</w:t>
      </w:r>
    </w:p>
    <w:p w:rsidR="00AE7ED9" w:rsidRDefault="00AE7ED9" w:rsidP="00AE7ED9">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sidRPr="00AE7ED9">
        <w:rPr>
          <w:rFonts w:ascii="Arial" w:hAnsi="Arial" w:cs="Arial"/>
          <w:u w:val="single"/>
        </w:rPr>
        <w:t>Lurasidone</w:t>
      </w:r>
      <w:r w:rsidR="00177190">
        <w:rPr>
          <w:rFonts w:ascii="Arial" w:hAnsi="Arial" w:cs="Arial"/>
        </w:rPr>
        <w:t xml:space="preserve"> – RS had met with NAVIGO and </w:t>
      </w:r>
      <w:r w:rsidR="00AE7ED9">
        <w:rPr>
          <w:rFonts w:ascii="Arial" w:hAnsi="Arial" w:cs="Arial"/>
        </w:rPr>
        <w:t>it has</w:t>
      </w:r>
      <w:r w:rsidR="00177190">
        <w:rPr>
          <w:rFonts w:ascii="Arial" w:hAnsi="Arial" w:cs="Arial"/>
        </w:rPr>
        <w:t xml:space="preserve"> been agreed is that this product should remain specialist only and be RAG rated Red.</w:t>
      </w:r>
    </w:p>
    <w:p w:rsidR="00177190" w:rsidRDefault="00177190" w:rsidP="00177190">
      <w:pPr>
        <w:pStyle w:val="NoSpacing"/>
        <w:ind w:left="720"/>
        <w:jc w:val="both"/>
        <w:rPr>
          <w:rFonts w:ascii="Arial" w:hAnsi="Arial" w:cs="Arial"/>
        </w:rPr>
      </w:pPr>
    </w:p>
    <w:p w:rsidR="009F47CA" w:rsidRDefault="009F47CA" w:rsidP="009F47CA">
      <w:pPr>
        <w:pStyle w:val="NoSpacing"/>
        <w:numPr>
          <w:ilvl w:val="0"/>
          <w:numId w:val="13"/>
        </w:numPr>
        <w:jc w:val="both"/>
        <w:rPr>
          <w:rFonts w:ascii="Arial" w:hAnsi="Arial" w:cs="Arial"/>
        </w:rPr>
      </w:pPr>
      <w:r w:rsidRPr="00E51944">
        <w:rPr>
          <w:rFonts w:ascii="Arial" w:hAnsi="Arial" w:cs="Arial"/>
          <w:u w:val="single"/>
        </w:rPr>
        <w:t>NEL Continence formulary</w:t>
      </w:r>
      <w:r w:rsidR="00177190">
        <w:rPr>
          <w:rFonts w:ascii="Arial" w:hAnsi="Arial" w:cs="Arial"/>
        </w:rPr>
        <w:t xml:space="preserve"> – this had been shared with the APC for information.</w:t>
      </w:r>
    </w:p>
    <w:p w:rsidR="00E51944" w:rsidRDefault="00E51944" w:rsidP="00E51944">
      <w:pPr>
        <w:pStyle w:val="ListParagraph"/>
      </w:pPr>
    </w:p>
    <w:p w:rsidR="00CC322E" w:rsidRPr="00E51944" w:rsidRDefault="00E51944" w:rsidP="00E51944">
      <w:pPr>
        <w:pStyle w:val="NoSpacing"/>
        <w:numPr>
          <w:ilvl w:val="0"/>
          <w:numId w:val="13"/>
        </w:numPr>
        <w:suppressAutoHyphens w:val="0"/>
        <w:spacing w:line="240" w:lineRule="auto"/>
        <w:jc w:val="both"/>
        <w:rPr>
          <w:rFonts w:ascii="Arial" w:hAnsi="Arial" w:cs="Arial"/>
        </w:rPr>
      </w:pPr>
      <w:r w:rsidRPr="00E51944">
        <w:rPr>
          <w:rFonts w:ascii="Arial" w:hAnsi="Arial" w:cs="Arial"/>
          <w:u w:val="single"/>
        </w:rPr>
        <w:t>Colostomy Bags</w:t>
      </w:r>
      <w:r w:rsidRPr="00E51944">
        <w:rPr>
          <w:rFonts w:ascii="Arial" w:hAnsi="Arial" w:cs="Arial"/>
        </w:rPr>
        <w:t xml:space="preserve"> - It was noted that HT </w:t>
      </w:r>
      <w:r w:rsidR="00CC322E" w:rsidRPr="00E51944">
        <w:rPr>
          <w:rFonts w:ascii="Arial" w:hAnsi="Arial" w:cs="Arial"/>
        </w:rPr>
        <w:t>will be sending an email to all who attended the meeting</w:t>
      </w:r>
      <w:r w:rsidRPr="00E51944">
        <w:rPr>
          <w:rFonts w:ascii="Arial" w:hAnsi="Arial" w:cs="Arial"/>
        </w:rPr>
        <w:t xml:space="preserve">.  </w:t>
      </w:r>
      <w:r w:rsidR="00177190" w:rsidRPr="00E51944">
        <w:rPr>
          <w:rFonts w:ascii="Arial" w:hAnsi="Arial" w:cs="Arial"/>
        </w:rPr>
        <w:t>SS stated that there was a supply issue with n</w:t>
      </w:r>
      <w:r w:rsidR="009D7365">
        <w:rPr>
          <w:rFonts w:ascii="Arial" w:hAnsi="Arial" w:cs="Arial"/>
        </w:rPr>
        <w:t xml:space="preserve">ephrostomy </w:t>
      </w:r>
      <w:r w:rsidR="00177190" w:rsidRPr="00E51944">
        <w:rPr>
          <w:rFonts w:ascii="Arial" w:hAnsi="Arial" w:cs="Arial"/>
        </w:rPr>
        <w:t>bags.  Currently the problem</w:t>
      </w:r>
      <w:r w:rsidRPr="00E51944">
        <w:rPr>
          <w:rFonts w:ascii="Arial" w:hAnsi="Arial" w:cs="Arial"/>
        </w:rPr>
        <w:t xml:space="preserve">s that were know about were with </w:t>
      </w:r>
      <w:r w:rsidR="00177190" w:rsidRPr="00E51944">
        <w:rPr>
          <w:rFonts w:ascii="Arial" w:hAnsi="Arial" w:cs="Arial"/>
        </w:rPr>
        <w:t>North East Lincolnshire</w:t>
      </w:r>
      <w:r w:rsidRPr="00E51944">
        <w:rPr>
          <w:rFonts w:ascii="Arial" w:hAnsi="Arial" w:cs="Arial"/>
        </w:rPr>
        <w:t xml:space="preserve">.  </w:t>
      </w:r>
      <w:r w:rsidR="00177190" w:rsidRPr="00E51944">
        <w:rPr>
          <w:rFonts w:ascii="Arial" w:hAnsi="Arial" w:cs="Arial"/>
        </w:rPr>
        <w:t>It was noted that there was a problem with peripheral products and the ongoing supply of these.  Some of the products were not available on an FP10.</w:t>
      </w:r>
      <w:r w:rsidR="002C4704" w:rsidRPr="00E51944">
        <w:rPr>
          <w:rFonts w:ascii="Arial" w:hAnsi="Arial" w:cs="Arial"/>
        </w:rPr>
        <w:t xml:space="preserve">  In terms of supplies this was not really an APC issue</w:t>
      </w:r>
      <w:r w:rsidR="009D7365">
        <w:rPr>
          <w:rFonts w:ascii="Arial" w:hAnsi="Arial" w:cs="Arial"/>
        </w:rPr>
        <w:t>: a</w:t>
      </w:r>
      <w:r w:rsidR="002C4704" w:rsidRPr="00E51944">
        <w:rPr>
          <w:rFonts w:ascii="Arial" w:hAnsi="Arial" w:cs="Arial"/>
        </w:rPr>
        <w:t xml:space="preserve"> contracting meeting would be required</w:t>
      </w:r>
      <w:r w:rsidR="009D7365">
        <w:rPr>
          <w:rFonts w:ascii="Arial" w:hAnsi="Arial" w:cs="Arial"/>
        </w:rPr>
        <w:t xml:space="preserve"> to resolve</w:t>
      </w:r>
      <w:r w:rsidR="002C4704" w:rsidRPr="00E51944">
        <w:rPr>
          <w:rFonts w:ascii="Arial" w:hAnsi="Arial" w:cs="Arial"/>
        </w:rPr>
        <w:t>.  The item was closed on the APC agenda.</w:t>
      </w:r>
    </w:p>
    <w:p w:rsidR="009F47CA" w:rsidRDefault="009F47CA" w:rsidP="00CC322E">
      <w:pPr>
        <w:pStyle w:val="NoSpacing"/>
        <w:ind w:left="720"/>
        <w:jc w:val="both"/>
        <w:rPr>
          <w:rFonts w:ascii="Arial" w:hAnsi="Arial" w:cs="Arial"/>
        </w:rPr>
      </w:pPr>
    </w:p>
    <w:p w:rsidR="00CC322E" w:rsidRDefault="009F47CA" w:rsidP="002D76E0">
      <w:pPr>
        <w:pStyle w:val="ListParagraph"/>
        <w:numPr>
          <w:ilvl w:val="0"/>
          <w:numId w:val="13"/>
        </w:numPr>
        <w:suppressAutoHyphens w:val="0"/>
        <w:spacing w:line="240" w:lineRule="auto"/>
        <w:contextualSpacing w:val="0"/>
        <w:rPr>
          <w:sz w:val="22"/>
          <w:szCs w:val="22"/>
        </w:rPr>
      </w:pPr>
      <w:r w:rsidRPr="002D76E0">
        <w:rPr>
          <w:sz w:val="22"/>
          <w:szCs w:val="22"/>
          <w:u w:val="single"/>
        </w:rPr>
        <w:t xml:space="preserve">Formulary </w:t>
      </w:r>
      <w:r w:rsidR="00EC783D" w:rsidRPr="002D76E0">
        <w:rPr>
          <w:sz w:val="22"/>
          <w:szCs w:val="22"/>
          <w:u w:val="single"/>
        </w:rPr>
        <w:t>annotation</w:t>
      </w:r>
      <w:r w:rsidR="00EC783D">
        <w:rPr>
          <w:sz w:val="22"/>
          <w:szCs w:val="22"/>
          <w:u w:val="single"/>
        </w:rPr>
        <w:t xml:space="preserve"> </w:t>
      </w:r>
      <w:r w:rsidR="00EC783D" w:rsidRPr="002D76E0">
        <w:rPr>
          <w:sz w:val="22"/>
          <w:szCs w:val="22"/>
          <w:u w:val="single"/>
        </w:rPr>
        <w:t>for</w:t>
      </w:r>
      <w:r w:rsidRPr="002D76E0">
        <w:rPr>
          <w:sz w:val="22"/>
          <w:szCs w:val="22"/>
          <w:u w:val="single"/>
        </w:rPr>
        <w:t xml:space="preserve"> Cinacalcet/Specialist Endocrinology Services</w:t>
      </w:r>
      <w:r w:rsidR="00CC322E" w:rsidRPr="002D76E0">
        <w:rPr>
          <w:sz w:val="22"/>
          <w:szCs w:val="22"/>
        </w:rPr>
        <w:t xml:space="preserve"> - This could be removed from the agenda as this has now been resolved- as confirmed, GPs should not be asked to prescribe this. Discussions are on-going regarding who should be prescribing this ie </w:t>
      </w:r>
      <w:r w:rsidR="002D76E0">
        <w:rPr>
          <w:sz w:val="22"/>
          <w:szCs w:val="22"/>
        </w:rPr>
        <w:t>S</w:t>
      </w:r>
      <w:r w:rsidR="00CC322E" w:rsidRPr="002D76E0">
        <w:rPr>
          <w:sz w:val="22"/>
          <w:szCs w:val="22"/>
        </w:rPr>
        <w:t xml:space="preserve">econdary </w:t>
      </w:r>
      <w:r w:rsidR="002D76E0">
        <w:rPr>
          <w:sz w:val="22"/>
          <w:szCs w:val="22"/>
        </w:rPr>
        <w:t>C</w:t>
      </w:r>
      <w:r w:rsidR="00CC322E" w:rsidRPr="002D76E0">
        <w:rPr>
          <w:sz w:val="22"/>
          <w:szCs w:val="22"/>
        </w:rPr>
        <w:t>are with NHSE agreement or a specialist endocrinology centre</w:t>
      </w:r>
      <w:r w:rsidR="002D76E0">
        <w:rPr>
          <w:sz w:val="22"/>
          <w:szCs w:val="22"/>
        </w:rPr>
        <w:t xml:space="preserve"> ie </w:t>
      </w:r>
      <w:r w:rsidR="00CC322E" w:rsidRPr="002D76E0">
        <w:rPr>
          <w:sz w:val="22"/>
          <w:szCs w:val="22"/>
        </w:rPr>
        <w:t>Hull.</w:t>
      </w:r>
      <w:r w:rsidR="002C4704" w:rsidRPr="002D76E0">
        <w:rPr>
          <w:sz w:val="22"/>
          <w:szCs w:val="22"/>
        </w:rPr>
        <w:t xml:space="preserve">  Item closed.  Formulary annotation to be made  as RED.</w:t>
      </w:r>
    </w:p>
    <w:p w:rsidR="002D76E0" w:rsidRPr="002D76E0" w:rsidRDefault="002D76E0" w:rsidP="002D76E0">
      <w:pPr>
        <w:pStyle w:val="ListParagraph"/>
        <w:jc w:val="right"/>
        <w:rPr>
          <w:b/>
          <w:sz w:val="22"/>
          <w:szCs w:val="22"/>
        </w:rPr>
      </w:pPr>
      <w:r w:rsidRPr="002D76E0">
        <w:rPr>
          <w:b/>
          <w:sz w:val="22"/>
          <w:szCs w:val="22"/>
        </w:rPr>
        <w:t>Action: AT</w:t>
      </w:r>
    </w:p>
    <w:p w:rsidR="002D76E0" w:rsidRPr="002D76E0" w:rsidRDefault="002D76E0" w:rsidP="002D76E0">
      <w:pPr>
        <w:pStyle w:val="ListParagraph"/>
        <w:suppressAutoHyphens w:val="0"/>
        <w:spacing w:line="240" w:lineRule="auto"/>
        <w:contextualSpacing w:val="0"/>
        <w:rPr>
          <w:sz w:val="22"/>
          <w:szCs w:val="22"/>
        </w:rPr>
      </w:pPr>
    </w:p>
    <w:p w:rsidR="002C4704" w:rsidRDefault="009F47CA" w:rsidP="002C4704">
      <w:pPr>
        <w:pStyle w:val="NoSpacing"/>
        <w:numPr>
          <w:ilvl w:val="0"/>
          <w:numId w:val="13"/>
        </w:numPr>
        <w:jc w:val="both"/>
        <w:rPr>
          <w:rFonts w:ascii="Arial" w:hAnsi="Arial" w:cs="Arial"/>
        </w:rPr>
      </w:pPr>
      <w:r w:rsidRPr="00E51944">
        <w:rPr>
          <w:rFonts w:ascii="Arial" w:hAnsi="Arial" w:cs="Arial"/>
          <w:u w:val="single"/>
        </w:rPr>
        <w:t xml:space="preserve">Shared Care Guidelines for Rheumatololgy </w:t>
      </w:r>
      <w:r w:rsidRPr="002D76E0">
        <w:rPr>
          <w:rFonts w:ascii="Arial" w:hAnsi="Arial" w:cs="Arial"/>
        </w:rPr>
        <w:t xml:space="preserve">DMARDS contractual </w:t>
      </w:r>
      <w:r w:rsidR="00E51944" w:rsidRPr="002D76E0">
        <w:rPr>
          <w:rFonts w:ascii="Arial" w:hAnsi="Arial" w:cs="Arial"/>
        </w:rPr>
        <w:t>d</w:t>
      </w:r>
      <w:r w:rsidRPr="002D76E0">
        <w:rPr>
          <w:rFonts w:ascii="Arial" w:hAnsi="Arial" w:cs="Arial"/>
        </w:rPr>
        <w:t>iscussions</w:t>
      </w:r>
      <w:r w:rsidR="00E51944" w:rsidRPr="002D76E0">
        <w:rPr>
          <w:rFonts w:ascii="Arial" w:hAnsi="Arial" w:cs="Arial"/>
        </w:rPr>
        <w:t xml:space="preserve"> required</w:t>
      </w:r>
      <w:r w:rsidR="002C4704">
        <w:rPr>
          <w:rFonts w:ascii="Arial" w:hAnsi="Arial" w:cs="Arial"/>
        </w:rPr>
        <w:t xml:space="preserve"> – accepted and closed on this agenda.</w:t>
      </w:r>
    </w:p>
    <w:p w:rsidR="009F47CA" w:rsidRPr="002C4704" w:rsidRDefault="002C4704" w:rsidP="002C4704">
      <w:pPr>
        <w:pStyle w:val="NoSpacing"/>
        <w:ind w:left="720"/>
        <w:jc w:val="both"/>
        <w:rPr>
          <w:rFonts w:ascii="Arial" w:hAnsi="Arial" w:cs="Arial"/>
        </w:rPr>
      </w:pPr>
      <w:r w:rsidRPr="002C4704">
        <w:rPr>
          <w:rFonts w:ascii="Arial" w:hAnsi="Arial" w:cs="Arial"/>
        </w:rPr>
        <w:t xml:space="preserve"> </w:t>
      </w:r>
    </w:p>
    <w:p w:rsidR="009F47CA" w:rsidRDefault="009F47CA" w:rsidP="009F47CA">
      <w:pPr>
        <w:pStyle w:val="NoSpacing"/>
        <w:numPr>
          <w:ilvl w:val="0"/>
          <w:numId w:val="13"/>
        </w:numPr>
        <w:jc w:val="both"/>
        <w:rPr>
          <w:rFonts w:ascii="Arial" w:hAnsi="Arial" w:cs="Arial"/>
        </w:rPr>
      </w:pPr>
      <w:r w:rsidRPr="002D76E0">
        <w:rPr>
          <w:rFonts w:ascii="Arial" w:hAnsi="Arial" w:cs="Arial"/>
          <w:u w:val="single"/>
        </w:rPr>
        <w:t>Enstilir</w:t>
      </w:r>
      <w:r w:rsidR="002C4704">
        <w:rPr>
          <w:rFonts w:ascii="Arial" w:hAnsi="Arial" w:cs="Arial"/>
        </w:rPr>
        <w:t xml:space="preserve"> – Dr Butt accepted the decision not to put this on the formulary.  With regard to Ivermectin he would resubmit with more evidence.  It was agreed that resubmissions would not be permitted within the year and this would be fed through M&amp;T also.</w:t>
      </w:r>
    </w:p>
    <w:p w:rsidR="00F71EEE" w:rsidRDefault="00F71EEE">
      <w:pPr>
        <w:suppressAutoHyphens w:val="0"/>
        <w:spacing w:line="240" w:lineRule="auto"/>
      </w:pPr>
    </w:p>
    <w:p w:rsidR="00CC322E" w:rsidRDefault="00CC322E" w:rsidP="002D76E0">
      <w:pPr>
        <w:pStyle w:val="ListParagraph"/>
        <w:numPr>
          <w:ilvl w:val="0"/>
          <w:numId w:val="13"/>
        </w:numPr>
        <w:suppressAutoHyphens w:val="0"/>
        <w:spacing w:line="240" w:lineRule="auto"/>
        <w:contextualSpacing w:val="0"/>
        <w:rPr>
          <w:color w:val="1F497D"/>
        </w:rPr>
      </w:pPr>
      <w:r w:rsidRPr="002D76E0">
        <w:rPr>
          <w:sz w:val="22"/>
          <w:szCs w:val="22"/>
          <w:u w:val="single"/>
        </w:rPr>
        <w:t>NOACS</w:t>
      </w:r>
      <w:r w:rsidRPr="002D76E0">
        <w:rPr>
          <w:sz w:val="22"/>
          <w:szCs w:val="22"/>
        </w:rPr>
        <w:t xml:space="preserve">- </w:t>
      </w:r>
      <w:r w:rsidR="004319D2">
        <w:rPr>
          <w:sz w:val="22"/>
          <w:szCs w:val="22"/>
        </w:rPr>
        <w:t>HT</w:t>
      </w:r>
      <w:r w:rsidR="002D76E0">
        <w:rPr>
          <w:sz w:val="22"/>
          <w:szCs w:val="22"/>
        </w:rPr>
        <w:t xml:space="preserve"> informed the committee</w:t>
      </w:r>
      <w:r w:rsidR="004319D2">
        <w:rPr>
          <w:sz w:val="22"/>
          <w:szCs w:val="22"/>
        </w:rPr>
        <w:t xml:space="preserve"> via email</w:t>
      </w:r>
      <w:r w:rsidR="002D76E0">
        <w:rPr>
          <w:sz w:val="22"/>
          <w:szCs w:val="22"/>
        </w:rPr>
        <w:t xml:space="preserve"> that he had</w:t>
      </w:r>
      <w:r w:rsidRPr="002D76E0">
        <w:rPr>
          <w:sz w:val="22"/>
          <w:szCs w:val="22"/>
        </w:rPr>
        <w:t xml:space="preserve"> asked the Trust’s clinical lead in Haematology whether NOACs could be prescribed instead of LMWH for patients who are receiving chemotherapy, </w:t>
      </w:r>
      <w:r w:rsidR="002D76E0">
        <w:rPr>
          <w:sz w:val="22"/>
          <w:szCs w:val="22"/>
        </w:rPr>
        <w:t xml:space="preserve">and is </w:t>
      </w:r>
      <w:r w:rsidRPr="002D76E0">
        <w:rPr>
          <w:sz w:val="22"/>
          <w:szCs w:val="22"/>
        </w:rPr>
        <w:t>awaiting a response</w:t>
      </w:r>
      <w:r w:rsidR="002D76E0">
        <w:rPr>
          <w:sz w:val="22"/>
          <w:szCs w:val="22"/>
        </w:rPr>
        <w:t xml:space="preserve"> which</w:t>
      </w:r>
      <w:r w:rsidRPr="002D76E0">
        <w:rPr>
          <w:sz w:val="22"/>
          <w:szCs w:val="22"/>
        </w:rPr>
        <w:t xml:space="preserve"> will</w:t>
      </w:r>
      <w:r w:rsidR="002D76E0">
        <w:rPr>
          <w:sz w:val="22"/>
          <w:szCs w:val="22"/>
        </w:rPr>
        <w:t xml:space="preserve"> be</w:t>
      </w:r>
      <w:r w:rsidRPr="002D76E0">
        <w:rPr>
          <w:sz w:val="22"/>
          <w:szCs w:val="22"/>
        </w:rPr>
        <w:t xml:space="preserve"> forward</w:t>
      </w:r>
      <w:r w:rsidR="002D76E0">
        <w:rPr>
          <w:sz w:val="22"/>
          <w:szCs w:val="22"/>
        </w:rPr>
        <w:t>ed</w:t>
      </w:r>
      <w:r w:rsidRPr="002D76E0">
        <w:rPr>
          <w:sz w:val="22"/>
          <w:szCs w:val="22"/>
        </w:rPr>
        <w:t xml:space="preserve"> on once received</w:t>
      </w:r>
      <w:r>
        <w:rPr>
          <w:color w:val="1F497D"/>
        </w:rPr>
        <w:t>.</w:t>
      </w:r>
    </w:p>
    <w:p w:rsidR="006A0078" w:rsidRPr="006A0078" w:rsidRDefault="006A0078" w:rsidP="002B1167">
      <w:pPr>
        <w:pStyle w:val="ListParagraph"/>
      </w:pPr>
    </w:p>
    <w:p w:rsidR="00CB042E" w:rsidRDefault="00CB042E" w:rsidP="00291A2C">
      <w:pPr>
        <w:pStyle w:val="NoSpacing"/>
        <w:jc w:val="both"/>
        <w:rPr>
          <w:rFonts w:ascii="Arial" w:hAnsi="Arial" w:cs="Arial"/>
        </w:rPr>
      </w:pPr>
    </w:p>
    <w:p w:rsidR="003C7738" w:rsidRPr="0001602B" w:rsidRDefault="003C7738" w:rsidP="00291A2C">
      <w:pPr>
        <w:pStyle w:val="NoSpacing"/>
        <w:jc w:val="both"/>
        <w:rPr>
          <w:rFonts w:ascii="Arial" w:hAnsi="Arial" w:cs="Arial"/>
          <w:b/>
        </w:rPr>
      </w:pPr>
      <w:r w:rsidRPr="0001602B">
        <w:rPr>
          <w:rFonts w:ascii="Arial" w:hAnsi="Arial" w:cs="Arial"/>
          <w:b/>
        </w:rPr>
        <w:t xml:space="preserve">5 </w:t>
      </w:r>
      <w:r w:rsidR="0001602B">
        <w:rPr>
          <w:rFonts w:ascii="Arial" w:hAnsi="Arial" w:cs="Arial"/>
          <w:b/>
        </w:rPr>
        <w:tab/>
      </w:r>
      <w:r w:rsidR="00C31534">
        <w:rPr>
          <w:rFonts w:ascii="Arial" w:hAnsi="Arial" w:cs="Arial"/>
          <w:b/>
        </w:rPr>
        <w:t>APC Working Arrangements</w:t>
      </w:r>
    </w:p>
    <w:p w:rsidR="003C7738" w:rsidRDefault="003C7738" w:rsidP="00291A2C">
      <w:pPr>
        <w:pStyle w:val="NoSpacing"/>
        <w:jc w:val="both"/>
        <w:rPr>
          <w:rFonts w:ascii="Arial" w:hAnsi="Arial" w:cs="Arial"/>
        </w:rPr>
      </w:pPr>
    </w:p>
    <w:p w:rsidR="005107B3" w:rsidRPr="005615FD" w:rsidRDefault="00C31534" w:rsidP="005107B3">
      <w:pPr>
        <w:pStyle w:val="NoSpacing"/>
        <w:numPr>
          <w:ilvl w:val="0"/>
          <w:numId w:val="9"/>
        </w:numPr>
        <w:ind w:left="360"/>
        <w:jc w:val="both"/>
        <w:rPr>
          <w:rFonts w:ascii="Arial" w:hAnsi="Arial" w:cs="Arial"/>
        </w:rPr>
      </w:pPr>
      <w:r w:rsidRPr="005615FD">
        <w:rPr>
          <w:rFonts w:ascii="Arial" w:hAnsi="Arial" w:cs="Arial"/>
        </w:rPr>
        <w:t xml:space="preserve">NICE TA &amp; </w:t>
      </w:r>
      <w:r w:rsidR="007E73FE" w:rsidRPr="005615FD">
        <w:rPr>
          <w:rFonts w:ascii="Arial" w:hAnsi="Arial" w:cs="Arial"/>
        </w:rPr>
        <w:t>N</w:t>
      </w:r>
      <w:r w:rsidRPr="005615FD">
        <w:rPr>
          <w:rFonts w:ascii="Arial" w:hAnsi="Arial" w:cs="Arial"/>
        </w:rPr>
        <w:t>G Updates</w:t>
      </w:r>
      <w:r w:rsidR="006A0078" w:rsidRPr="005615FD">
        <w:rPr>
          <w:rFonts w:ascii="Arial" w:hAnsi="Arial" w:cs="Arial"/>
        </w:rPr>
        <w:t xml:space="preserve"> (</w:t>
      </w:r>
      <w:r w:rsidR="009F47CA">
        <w:rPr>
          <w:rFonts w:ascii="Arial" w:hAnsi="Arial" w:cs="Arial"/>
        </w:rPr>
        <w:t>May 2017</w:t>
      </w:r>
      <w:r w:rsidR="006A0078" w:rsidRPr="005615FD">
        <w:rPr>
          <w:rFonts w:ascii="Arial" w:hAnsi="Arial" w:cs="Arial"/>
        </w:rPr>
        <w:t>)</w:t>
      </w:r>
      <w:r w:rsidR="00E469DB" w:rsidRPr="005615FD">
        <w:rPr>
          <w:rFonts w:ascii="Arial" w:hAnsi="Arial" w:cs="Arial"/>
        </w:rPr>
        <w:t xml:space="preserve">.  </w:t>
      </w:r>
      <w:r w:rsidR="005615FD">
        <w:rPr>
          <w:rFonts w:ascii="Arial" w:hAnsi="Arial" w:cs="Arial"/>
        </w:rPr>
        <w:t>NICE guidance discussed:</w:t>
      </w:r>
    </w:p>
    <w:p w:rsidR="00717DCC" w:rsidRDefault="00717DCC" w:rsidP="005107B3">
      <w:pPr>
        <w:pStyle w:val="NoSpacing"/>
        <w:jc w:val="both"/>
        <w:rPr>
          <w:rFonts w:ascii="Arial" w:hAnsi="Arial" w:cs="Arial"/>
        </w:rPr>
      </w:pPr>
    </w:p>
    <w:p w:rsidR="002E5ED0" w:rsidRDefault="002E5ED0" w:rsidP="005107B3">
      <w:pPr>
        <w:pStyle w:val="NoSpacing"/>
        <w:jc w:val="both"/>
        <w:rPr>
          <w:rFonts w:ascii="Arial" w:hAnsi="Arial" w:cs="Arial"/>
        </w:rPr>
      </w:pPr>
    </w:p>
    <w:p w:rsidR="002E5ED0" w:rsidRDefault="00D240E3" w:rsidP="005107B3">
      <w:pPr>
        <w:pStyle w:val="NoSpacing"/>
        <w:jc w:val="both"/>
        <w:rPr>
          <w:rFonts w:ascii="Arial" w:hAnsi="Arial" w:cs="Arial"/>
        </w:rPr>
      </w:pPr>
      <w:r>
        <w:rPr>
          <w:rFonts w:ascii="Arial" w:hAnsi="Arial" w:cs="Arial"/>
        </w:rPr>
        <w:t>See below.</w:t>
      </w:r>
    </w:p>
    <w:p w:rsidR="00E148DF" w:rsidRDefault="00E148DF" w:rsidP="005107B3">
      <w:pPr>
        <w:pStyle w:val="NoSpacing"/>
        <w:jc w:val="both"/>
        <w:rPr>
          <w:rFonts w:ascii="Arial" w:hAnsi="Arial" w:cs="Arial"/>
        </w:rPr>
      </w:pPr>
    </w:p>
    <w:p w:rsidR="004C1C05" w:rsidRDefault="006A0078" w:rsidP="00BF6C04">
      <w:pPr>
        <w:pStyle w:val="NoSpacing"/>
        <w:numPr>
          <w:ilvl w:val="0"/>
          <w:numId w:val="9"/>
        </w:numPr>
        <w:ind w:left="360"/>
        <w:jc w:val="both"/>
        <w:rPr>
          <w:rFonts w:ascii="Arial" w:hAnsi="Arial" w:cs="Arial"/>
        </w:rPr>
      </w:pPr>
      <w:r w:rsidRPr="00C25C3E">
        <w:rPr>
          <w:rFonts w:ascii="Arial" w:hAnsi="Arial" w:cs="Arial"/>
          <w:u w:val="single"/>
        </w:rPr>
        <w:t>Net.formulary</w:t>
      </w:r>
      <w:r w:rsidR="005107B3">
        <w:rPr>
          <w:rFonts w:ascii="Arial" w:hAnsi="Arial" w:cs="Arial"/>
        </w:rPr>
        <w:t xml:space="preserve"> –</w:t>
      </w:r>
      <w:r w:rsidR="00A74952">
        <w:rPr>
          <w:rFonts w:ascii="Arial" w:hAnsi="Arial" w:cs="Arial"/>
        </w:rPr>
        <w:t xml:space="preserve"> </w:t>
      </w:r>
      <w:r w:rsidR="009F47CA">
        <w:rPr>
          <w:rFonts w:ascii="Arial" w:hAnsi="Arial" w:cs="Arial"/>
        </w:rPr>
        <w:t xml:space="preserve"> 9 June training to take place</w:t>
      </w:r>
      <w:r w:rsidR="002E5ED0">
        <w:rPr>
          <w:rFonts w:ascii="Arial" w:hAnsi="Arial" w:cs="Arial"/>
        </w:rPr>
        <w:t xml:space="preserve"> at SGH Pharmacy.</w:t>
      </w:r>
    </w:p>
    <w:p w:rsidR="00CB2F21" w:rsidRDefault="00CB2F21"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2555F9" w:rsidRPr="00CE43CC" w:rsidRDefault="009F47CA" w:rsidP="009F47CA">
      <w:pPr>
        <w:pStyle w:val="NoSpacing"/>
        <w:numPr>
          <w:ilvl w:val="0"/>
          <w:numId w:val="6"/>
        </w:numPr>
        <w:suppressAutoHyphens w:val="0"/>
        <w:spacing w:line="240" w:lineRule="auto"/>
        <w:ind w:left="360"/>
        <w:rPr>
          <w:rFonts w:ascii="Arial" w:hAnsi="Arial" w:cs="Arial"/>
        </w:rPr>
      </w:pPr>
      <w:r w:rsidRPr="00CE43CC">
        <w:rPr>
          <w:rFonts w:ascii="Arial" w:hAnsi="Arial" w:cs="Arial"/>
          <w:u w:val="single"/>
        </w:rPr>
        <w:t>Entresto</w:t>
      </w:r>
      <w:r w:rsidR="0079014D" w:rsidRPr="00CE43CC">
        <w:rPr>
          <w:rFonts w:ascii="Arial" w:hAnsi="Arial" w:cs="Arial"/>
        </w:rPr>
        <w:t>–</w:t>
      </w:r>
      <w:r w:rsidR="002E5ED0">
        <w:rPr>
          <w:rFonts w:ascii="Arial" w:hAnsi="Arial" w:cs="Arial"/>
        </w:rPr>
        <w:t xml:space="preserve"> reviewing the draft guideline within Cardiology.  At the moment AT has met with Dr Thackery and he has concluded that it will be initiated and initially monitored by </w:t>
      </w:r>
      <w:r w:rsidR="002D76E0">
        <w:rPr>
          <w:rFonts w:ascii="Arial" w:hAnsi="Arial" w:cs="Arial"/>
        </w:rPr>
        <w:t>Secondary Care</w:t>
      </w:r>
      <w:r w:rsidR="002E5ED0">
        <w:rPr>
          <w:rFonts w:ascii="Arial" w:hAnsi="Arial" w:cs="Arial"/>
        </w:rPr>
        <w:t xml:space="preserve"> and he has narrowed down the focus of which patients will be treated.  </w:t>
      </w:r>
      <w:r w:rsidR="002D76E0">
        <w:rPr>
          <w:rFonts w:ascii="Arial" w:hAnsi="Arial" w:cs="Arial"/>
        </w:rPr>
        <w:t xml:space="preserve">It will, </w:t>
      </w:r>
      <w:r w:rsidR="002E5ED0">
        <w:rPr>
          <w:rFonts w:ascii="Arial" w:hAnsi="Arial" w:cs="Arial"/>
        </w:rPr>
        <w:t xml:space="preserve"> therefore, be Amber.  The shared care/guidance document would come in when </w:t>
      </w:r>
      <w:r w:rsidR="002D76E0">
        <w:rPr>
          <w:rFonts w:ascii="Arial" w:hAnsi="Arial" w:cs="Arial"/>
        </w:rPr>
        <w:t xml:space="preserve">a </w:t>
      </w:r>
      <w:r w:rsidR="002E5ED0">
        <w:rPr>
          <w:rFonts w:ascii="Arial" w:hAnsi="Arial" w:cs="Arial"/>
        </w:rPr>
        <w:t>patient is at a stable point and the GP is able to take over the prescribing of this.  This has a positive NICE TA and we do have some patients that would qualify for this.  It ha</w:t>
      </w:r>
      <w:r w:rsidR="002D76E0">
        <w:rPr>
          <w:rFonts w:ascii="Arial" w:hAnsi="Arial" w:cs="Arial"/>
        </w:rPr>
        <w:t>d</w:t>
      </w:r>
      <w:r w:rsidR="002E5ED0">
        <w:rPr>
          <w:rFonts w:ascii="Arial" w:hAnsi="Arial" w:cs="Arial"/>
        </w:rPr>
        <w:t xml:space="preserve"> previously come to the APC when it had a positive NICE TA.  </w:t>
      </w:r>
      <w:r w:rsidR="00AB107D">
        <w:rPr>
          <w:rFonts w:ascii="Arial" w:hAnsi="Arial" w:cs="Arial"/>
        </w:rPr>
        <w:t>It was noted that it was already on the formulary but would change to Specialist Initiation only.</w:t>
      </w:r>
    </w:p>
    <w:p w:rsidR="009F47CA" w:rsidRPr="00CE43CC" w:rsidRDefault="009F47CA" w:rsidP="009F47CA">
      <w:pPr>
        <w:pStyle w:val="NoSpacing"/>
        <w:suppressAutoHyphens w:val="0"/>
        <w:spacing w:line="240" w:lineRule="auto"/>
        <w:ind w:left="360"/>
        <w:rPr>
          <w:rFonts w:ascii="Arial" w:hAnsi="Arial" w:cs="Arial"/>
        </w:rPr>
      </w:pPr>
    </w:p>
    <w:p w:rsidR="001139F0" w:rsidRDefault="009F47CA" w:rsidP="009F47CA">
      <w:pPr>
        <w:pStyle w:val="NoSpacing"/>
        <w:numPr>
          <w:ilvl w:val="0"/>
          <w:numId w:val="6"/>
        </w:numPr>
        <w:suppressAutoHyphens w:val="0"/>
        <w:spacing w:line="240" w:lineRule="auto"/>
        <w:ind w:left="360"/>
        <w:rPr>
          <w:rFonts w:ascii="Arial" w:hAnsi="Arial" w:cs="Arial"/>
        </w:rPr>
      </w:pPr>
      <w:r w:rsidRPr="00CE43CC">
        <w:rPr>
          <w:rFonts w:ascii="Arial" w:hAnsi="Arial" w:cs="Arial"/>
          <w:u w:val="single"/>
        </w:rPr>
        <w:t>Abasaglar</w:t>
      </w:r>
      <w:r w:rsidR="00C25C3E" w:rsidRPr="00CE43CC">
        <w:rPr>
          <w:rFonts w:ascii="Arial" w:hAnsi="Arial" w:cs="Arial"/>
          <w:u w:val="single"/>
        </w:rPr>
        <w:t xml:space="preserve"> </w:t>
      </w:r>
      <w:r w:rsidR="00C25C3E" w:rsidRPr="00CE43CC">
        <w:rPr>
          <w:rFonts w:ascii="Arial" w:hAnsi="Arial" w:cs="Arial"/>
        </w:rPr>
        <w:t>–</w:t>
      </w:r>
      <w:r w:rsidR="00E35CE0" w:rsidRPr="00CE43CC">
        <w:rPr>
          <w:rFonts w:ascii="Arial" w:hAnsi="Arial" w:cs="Arial"/>
        </w:rPr>
        <w:t xml:space="preserve"> </w:t>
      </w:r>
      <w:r w:rsidR="00AB107D">
        <w:rPr>
          <w:rFonts w:ascii="Arial" w:hAnsi="Arial" w:cs="Arial"/>
        </w:rPr>
        <w:t>RS circulated this document during the meeting</w:t>
      </w:r>
      <w:r w:rsidR="009A45AA">
        <w:rPr>
          <w:rFonts w:ascii="Arial" w:hAnsi="Arial" w:cs="Arial"/>
        </w:rPr>
        <w:t>.  Initial discussions took place.  It was noted that currently we use a lot of Lantus Vials within the Trust.  Brand prescribing was required as this was a biosimilar.  This would be discussed further at the July meeting.  JR would circulate for comments following today’s meeting.</w:t>
      </w:r>
    </w:p>
    <w:p w:rsidR="002D76E0" w:rsidRPr="002D76E0" w:rsidRDefault="002D76E0" w:rsidP="002D76E0">
      <w:pPr>
        <w:pStyle w:val="ListParagraph"/>
        <w:jc w:val="right"/>
        <w:rPr>
          <w:b/>
          <w:sz w:val="22"/>
          <w:szCs w:val="22"/>
        </w:rPr>
      </w:pPr>
      <w:r w:rsidRPr="002D76E0">
        <w:rPr>
          <w:b/>
          <w:sz w:val="22"/>
          <w:szCs w:val="22"/>
        </w:rPr>
        <w:t>Action: JR</w:t>
      </w:r>
    </w:p>
    <w:p w:rsidR="009F47CA" w:rsidRPr="00CE43CC" w:rsidRDefault="009F47CA" w:rsidP="009F47CA">
      <w:pPr>
        <w:pStyle w:val="ListParagraph"/>
      </w:pPr>
    </w:p>
    <w:p w:rsidR="002D76E0" w:rsidRDefault="009F47CA" w:rsidP="009F47CA">
      <w:pPr>
        <w:pStyle w:val="NoSpacing"/>
        <w:numPr>
          <w:ilvl w:val="0"/>
          <w:numId w:val="6"/>
        </w:numPr>
        <w:suppressAutoHyphens w:val="0"/>
        <w:spacing w:line="240" w:lineRule="auto"/>
        <w:ind w:left="360"/>
        <w:rPr>
          <w:rFonts w:ascii="Arial" w:hAnsi="Arial" w:cs="Arial"/>
        </w:rPr>
      </w:pPr>
      <w:r w:rsidRPr="00594062">
        <w:rPr>
          <w:rFonts w:ascii="Arial" w:hAnsi="Arial" w:cs="Arial"/>
          <w:u w:val="single"/>
        </w:rPr>
        <w:t>Guanfacine (Intuniv</w:t>
      </w:r>
      <w:r w:rsidRPr="00CE43CC">
        <w:rPr>
          <w:rFonts w:ascii="Arial" w:hAnsi="Arial" w:cs="Arial"/>
        </w:rPr>
        <w:t>)</w:t>
      </w:r>
      <w:r w:rsidR="00CE43CC">
        <w:rPr>
          <w:rFonts w:ascii="Arial" w:hAnsi="Arial" w:cs="Arial"/>
        </w:rPr>
        <w:t xml:space="preserve"> </w:t>
      </w:r>
      <w:r w:rsidR="009A45AA">
        <w:rPr>
          <w:rFonts w:ascii="Arial" w:hAnsi="Arial" w:cs="Arial"/>
        </w:rPr>
        <w:t>–</w:t>
      </w:r>
      <w:r w:rsidR="00CE43CC">
        <w:rPr>
          <w:rFonts w:ascii="Arial" w:hAnsi="Arial" w:cs="Arial"/>
        </w:rPr>
        <w:t xml:space="preserve"> </w:t>
      </w:r>
      <w:r w:rsidR="009A45AA">
        <w:rPr>
          <w:rFonts w:ascii="Arial" w:hAnsi="Arial" w:cs="Arial"/>
        </w:rPr>
        <w:t>fourth line treatment for North</w:t>
      </w:r>
      <w:r w:rsidR="00636CCE">
        <w:rPr>
          <w:rFonts w:ascii="Arial" w:hAnsi="Arial" w:cs="Arial"/>
        </w:rPr>
        <w:t xml:space="preserve"> Lincolnshire treatment of ADHD for patients up to the age of 18 years.  There is then a transition clinic where patients are then seen within North Lincolnshire through RDash.  Clinical views from NL GPs would be required.  It was agreed that until there was more evidence of a net saving or a NICE TA then this could not be approved in the current financial climate.  It was agreed that Dr N</w:t>
      </w:r>
      <w:r w:rsidR="002D76E0">
        <w:rPr>
          <w:rFonts w:ascii="Arial" w:hAnsi="Arial" w:cs="Arial"/>
        </w:rPr>
        <w:t>elapatla</w:t>
      </w:r>
      <w:r w:rsidR="00636CCE">
        <w:rPr>
          <w:rFonts w:ascii="Arial" w:hAnsi="Arial" w:cs="Arial"/>
        </w:rPr>
        <w:t xml:space="preserve"> would probably like to come and speak regarding this when NL GP representation was present and also</w:t>
      </w:r>
      <w:r w:rsidR="00781596">
        <w:rPr>
          <w:rFonts w:ascii="Arial" w:hAnsi="Arial" w:cs="Arial"/>
        </w:rPr>
        <w:t xml:space="preserve"> at a Brigg meeting.  </w:t>
      </w:r>
    </w:p>
    <w:p w:rsidR="009F47CA" w:rsidRPr="002D76E0" w:rsidRDefault="00781596" w:rsidP="002D76E0">
      <w:pPr>
        <w:pStyle w:val="NoSpacing"/>
        <w:suppressAutoHyphens w:val="0"/>
        <w:spacing w:line="240" w:lineRule="auto"/>
        <w:ind w:left="360"/>
        <w:jc w:val="right"/>
        <w:rPr>
          <w:rFonts w:ascii="Arial" w:hAnsi="Arial" w:cs="Arial"/>
          <w:b/>
        </w:rPr>
      </w:pPr>
      <w:r w:rsidRPr="002D76E0">
        <w:rPr>
          <w:rFonts w:ascii="Arial" w:hAnsi="Arial" w:cs="Arial"/>
          <w:b/>
        </w:rPr>
        <w:t>Action: JR</w:t>
      </w:r>
      <w:r w:rsidR="002D76E0" w:rsidRPr="002D76E0">
        <w:rPr>
          <w:rFonts w:ascii="Arial" w:hAnsi="Arial" w:cs="Arial"/>
          <w:b/>
        </w:rPr>
        <w:t>/AT</w:t>
      </w:r>
    </w:p>
    <w:p w:rsidR="00636CCE" w:rsidRDefault="00636CCE" w:rsidP="00636CCE">
      <w:pPr>
        <w:pStyle w:val="ListParagraph"/>
      </w:pPr>
    </w:p>
    <w:p w:rsidR="00636CCE" w:rsidRPr="00CE43CC" w:rsidRDefault="00636CCE" w:rsidP="00636CCE">
      <w:pPr>
        <w:pStyle w:val="NoSpacing"/>
        <w:suppressAutoHyphens w:val="0"/>
        <w:spacing w:line="240" w:lineRule="auto"/>
        <w:ind w:left="360"/>
        <w:rPr>
          <w:rFonts w:ascii="Arial" w:hAnsi="Arial" w:cs="Arial"/>
        </w:rPr>
      </w:pPr>
      <w:r>
        <w:rPr>
          <w:rFonts w:ascii="Arial" w:hAnsi="Arial" w:cs="Arial"/>
        </w:rPr>
        <w:t>As an aside AT had produced a chart on how decisions are made within APC</w:t>
      </w:r>
      <w:r w:rsidR="002D76E0">
        <w:rPr>
          <w:rFonts w:ascii="Arial" w:hAnsi="Arial" w:cs="Arial"/>
        </w:rPr>
        <w:t xml:space="preserve"> as a starting point for further discussions.</w:t>
      </w:r>
    </w:p>
    <w:p w:rsidR="00CE43CC" w:rsidRPr="00CE43CC" w:rsidRDefault="00CE43CC" w:rsidP="00CE43CC">
      <w:pPr>
        <w:pStyle w:val="ListParagraph"/>
      </w:pPr>
    </w:p>
    <w:p w:rsidR="00CE43CC" w:rsidRPr="00BD3C54" w:rsidRDefault="00CE43CC" w:rsidP="009F47CA">
      <w:pPr>
        <w:pStyle w:val="NoSpacing"/>
        <w:numPr>
          <w:ilvl w:val="0"/>
          <w:numId w:val="6"/>
        </w:numPr>
        <w:suppressAutoHyphens w:val="0"/>
        <w:spacing w:line="240" w:lineRule="auto"/>
        <w:ind w:left="360"/>
        <w:rPr>
          <w:b/>
        </w:rPr>
      </w:pPr>
      <w:r w:rsidRPr="00CE43CC">
        <w:rPr>
          <w:rFonts w:ascii="Arial" w:hAnsi="Arial" w:cs="Arial"/>
          <w:u w:val="single"/>
        </w:rPr>
        <w:t>Braltus</w:t>
      </w:r>
      <w:r>
        <w:rPr>
          <w:rFonts w:ascii="Arial" w:hAnsi="Arial" w:cs="Arial"/>
        </w:rPr>
        <w:t xml:space="preserve"> </w:t>
      </w:r>
      <w:r w:rsidR="00BD3C54">
        <w:rPr>
          <w:rFonts w:ascii="Arial" w:hAnsi="Arial" w:cs="Arial"/>
        </w:rPr>
        <w:t>–</w:t>
      </w:r>
      <w:r>
        <w:rPr>
          <w:rFonts w:ascii="Arial" w:hAnsi="Arial" w:cs="Arial"/>
        </w:rPr>
        <w:t xml:space="preserve"> </w:t>
      </w:r>
      <w:r w:rsidR="00781596">
        <w:rPr>
          <w:rFonts w:ascii="Arial" w:hAnsi="Arial" w:cs="Arial"/>
        </w:rPr>
        <w:t xml:space="preserve">clinical effectiveness agreed.  APC happy to approve and NL had GP support for this.  Pharmacists would need to be aware of this switch and any future of this nature.  It was noted that the APC newsletter would assist with this.  </w:t>
      </w:r>
      <w:r w:rsidR="002D76E0">
        <w:rPr>
          <w:rFonts w:ascii="Arial" w:hAnsi="Arial" w:cs="Arial"/>
        </w:rPr>
        <w:t xml:space="preserve">Within </w:t>
      </w:r>
      <w:r w:rsidR="00781596">
        <w:rPr>
          <w:rFonts w:ascii="Arial" w:hAnsi="Arial" w:cs="Arial"/>
        </w:rPr>
        <w:t>NLaG PH was getting the Braltus rep in to give some training.</w:t>
      </w:r>
    </w:p>
    <w:p w:rsidR="00BD3C54" w:rsidRPr="00240B14" w:rsidRDefault="00240B14" w:rsidP="00240B14">
      <w:pPr>
        <w:pStyle w:val="ListParagraph"/>
        <w:jc w:val="right"/>
        <w:rPr>
          <w:b/>
          <w:sz w:val="22"/>
          <w:szCs w:val="22"/>
        </w:rPr>
      </w:pPr>
      <w:r w:rsidRPr="00240B14">
        <w:rPr>
          <w:b/>
          <w:sz w:val="22"/>
          <w:szCs w:val="22"/>
        </w:rPr>
        <w:t>Action: PF/AT</w:t>
      </w:r>
    </w:p>
    <w:p w:rsidR="00240B14" w:rsidRDefault="00240B14" w:rsidP="00BD3C54">
      <w:pPr>
        <w:pStyle w:val="ListParagraph"/>
        <w:rPr>
          <w:b/>
        </w:rPr>
      </w:pPr>
    </w:p>
    <w:p w:rsidR="00BD3C54" w:rsidRDefault="00BD3C54" w:rsidP="009F47CA">
      <w:pPr>
        <w:pStyle w:val="NoSpacing"/>
        <w:numPr>
          <w:ilvl w:val="0"/>
          <w:numId w:val="6"/>
        </w:numPr>
        <w:suppressAutoHyphens w:val="0"/>
        <w:spacing w:line="240" w:lineRule="auto"/>
        <w:ind w:left="360"/>
        <w:rPr>
          <w:rFonts w:ascii="Arial" w:hAnsi="Arial" w:cs="Arial"/>
        </w:rPr>
      </w:pPr>
      <w:r w:rsidRPr="00AC6816">
        <w:rPr>
          <w:rFonts w:ascii="Arial" w:hAnsi="Arial" w:cs="Arial"/>
          <w:u w:val="single"/>
        </w:rPr>
        <w:t xml:space="preserve">Evolocumab for treating primary </w:t>
      </w:r>
      <w:proofErr w:type="spellStart"/>
      <w:r w:rsidRPr="00AC6816">
        <w:rPr>
          <w:rFonts w:ascii="Arial" w:hAnsi="Arial" w:cs="Arial"/>
          <w:u w:val="single"/>
        </w:rPr>
        <w:t>hypercholesterolaemia</w:t>
      </w:r>
      <w:proofErr w:type="spellEnd"/>
      <w:r w:rsidRPr="00AC6816">
        <w:rPr>
          <w:rFonts w:ascii="Arial" w:hAnsi="Arial" w:cs="Arial"/>
          <w:u w:val="single"/>
        </w:rPr>
        <w:t xml:space="preserve"> and mixed </w:t>
      </w:r>
      <w:proofErr w:type="spellStart"/>
      <w:r w:rsidRPr="00AC6816">
        <w:rPr>
          <w:rFonts w:ascii="Arial" w:hAnsi="Arial" w:cs="Arial"/>
          <w:u w:val="single"/>
        </w:rPr>
        <w:t>dyslipid</w:t>
      </w:r>
      <w:r w:rsidR="009D7365">
        <w:rPr>
          <w:rFonts w:ascii="Arial" w:hAnsi="Arial" w:cs="Arial"/>
          <w:u w:val="single"/>
        </w:rPr>
        <w:t>i</w:t>
      </w:r>
      <w:r w:rsidR="009D7365" w:rsidRPr="009D7365">
        <w:rPr>
          <w:rFonts w:ascii="Arial" w:hAnsi="Arial" w:cs="Arial"/>
          <w:u w:val="single"/>
        </w:rPr>
        <w:t>daemia</w:t>
      </w:r>
      <w:proofErr w:type="spellEnd"/>
      <w:r w:rsidRPr="00AC6816">
        <w:rPr>
          <w:rFonts w:ascii="Arial" w:hAnsi="Arial" w:cs="Arial"/>
        </w:rPr>
        <w:t>– late item sent out this morning</w:t>
      </w:r>
      <w:r w:rsidR="00781596" w:rsidRPr="00AC6816">
        <w:rPr>
          <w:rFonts w:ascii="Arial" w:hAnsi="Arial" w:cs="Arial"/>
        </w:rPr>
        <w:t xml:space="preserve"> – PH has been made aware of this drug that received NICE guidance last year but is not currently on the formulary.  It was noted that this was very expensive</w:t>
      </w:r>
      <w:r w:rsidR="00AC6816">
        <w:rPr>
          <w:rFonts w:ascii="Arial" w:hAnsi="Arial" w:cs="Arial"/>
        </w:rPr>
        <w:t xml:space="preserve"> for the treatment of patients</w:t>
      </w:r>
      <w:r w:rsidR="002D76E0">
        <w:rPr>
          <w:rFonts w:ascii="Arial" w:hAnsi="Arial" w:cs="Arial"/>
        </w:rPr>
        <w:t>.</w:t>
      </w:r>
      <w:r w:rsidR="00AC6816">
        <w:rPr>
          <w:rFonts w:ascii="Arial" w:hAnsi="Arial" w:cs="Arial"/>
        </w:rPr>
        <w:t xml:space="preserve">  Dr Thackery would be asked for a view on b</w:t>
      </w:r>
      <w:r w:rsidR="002D76E0">
        <w:rPr>
          <w:rFonts w:ascii="Arial" w:hAnsi="Arial" w:cs="Arial"/>
        </w:rPr>
        <w:t xml:space="preserve">oth of these products.  </w:t>
      </w:r>
      <w:r w:rsidR="009D7365">
        <w:rPr>
          <w:rFonts w:ascii="Arial" w:hAnsi="Arial" w:cs="Arial"/>
        </w:rPr>
        <w:t xml:space="preserve">It will be made available on the formulary in line with NICE TA.  </w:t>
      </w:r>
    </w:p>
    <w:p w:rsidR="009D7365" w:rsidRPr="009D7365" w:rsidRDefault="009D7365" w:rsidP="009D7365">
      <w:pPr>
        <w:pStyle w:val="NoSpacing"/>
        <w:suppressAutoHyphens w:val="0"/>
        <w:spacing w:line="240" w:lineRule="auto"/>
        <w:ind w:left="360"/>
        <w:jc w:val="right"/>
        <w:rPr>
          <w:rFonts w:ascii="Arial" w:hAnsi="Arial" w:cs="Arial"/>
          <w:b/>
        </w:rPr>
      </w:pPr>
      <w:r w:rsidRPr="009D7365">
        <w:rPr>
          <w:rFonts w:ascii="Arial" w:hAnsi="Arial" w:cs="Arial"/>
          <w:b/>
        </w:rPr>
        <w:t>Action: AT</w:t>
      </w:r>
    </w:p>
    <w:p w:rsidR="00CE43CC" w:rsidRDefault="00CE43CC" w:rsidP="00CE43CC">
      <w:pPr>
        <w:pStyle w:val="ListParagraph"/>
        <w:rPr>
          <w:b/>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151D11" w:rsidRPr="009B631F" w:rsidRDefault="00EF3DB2" w:rsidP="004A5D80">
      <w:pPr>
        <w:pStyle w:val="ListParagraph"/>
        <w:numPr>
          <w:ilvl w:val="0"/>
          <w:numId w:val="3"/>
        </w:numPr>
        <w:suppressAutoHyphens w:val="0"/>
        <w:spacing w:line="240" w:lineRule="auto"/>
        <w:ind w:left="360"/>
        <w:rPr>
          <w:rFonts w:eastAsia="SimSun"/>
          <w:sz w:val="22"/>
          <w:szCs w:val="22"/>
        </w:rPr>
      </w:pPr>
      <w:r w:rsidRPr="002F6622">
        <w:rPr>
          <w:sz w:val="22"/>
          <w:szCs w:val="22"/>
          <w:u w:val="single"/>
        </w:rPr>
        <w:t>MHR</w:t>
      </w:r>
      <w:r w:rsidR="00B86BF5" w:rsidRPr="002F6622">
        <w:rPr>
          <w:sz w:val="22"/>
          <w:szCs w:val="22"/>
          <w:u w:val="single"/>
        </w:rPr>
        <w:t>A Drug</w:t>
      </w:r>
      <w:r w:rsidRPr="002F6622">
        <w:rPr>
          <w:sz w:val="22"/>
          <w:szCs w:val="22"/>
          <w:u w:val="single"/>
        </w:rPr>
        <w:t xml:space="preserve"> </w:t>
      </w:r>
      <w:r w:rsidR="00E17DC9" w:rsidRPr="002F6622">
        <w:rPr>
          <w:sz w:val="22"/>
          <w:szCs w:val="22"/>
          <w:u w:val="single"/>
        </w:rPr>
        <w:t>Safety Update</w:t>
      </w:r>
      <w:r w:rsidR="00361D71" w:rsidRPr="00591A77">
        <w:rPr>
          <w:sz w:val="22"/>
          <w:szCs w:val="22"/>
        </w:rPr>
        <w:t xml:space="preserve"> </w:t>
      </w:r>
      <w:r w:rsidR="00151D11" w:rsidRPr="00591A77">
        <w:rPr>
          <w:sz w:val="22"/>
          <w:szCs w:val="22"/>
        </w:rPr>
        <w:t xml:space="preserve">– </w:t>
      </w:r>
      <w:r w:rsidR="00B86BF5" w:rsidRPr="00591A77">
        <w:rPr>
          <w:sz w:val="22"/>
          <w:szCs w:val="22"/>
        </w:rPr>
        <w:t>The APC noted the contents of the alert for</w:t>
      </w:r>
      <w:r w:rsidR="0060260D">
        <w:rPr>
          <w:sz w:val="22"/>
          <w:szCs w:val="22"/>
        </w:rPr>
        <w:t xml:space="preserve"> </w:t>
      </w:r>
      <w:r w:rsidR="00781596">
        <w:rPr>
          <w:sz w:val="22"/>
          <w:szCs w:val="22"/>
        </w:rPr>
        <w:t>May 2017.</w:t>
      </w:r>
    </w:p>
    <w:p w:rsidR="009B631F" w:rsidRPr="00BF6C04" w:rsidRDefault="009B631F" w:rsidP="009B631F">
      <w:pPr>
        <w:pStyle w:val="ListParagraph"/>
        <w:suppressAutoHyphens w:val="0"/>
        <w:spacing w:line="240" w:lineRule="auto"/>
        <w:ind w:left="360"/>
        <w:rPr>
          <w:rFonts w:eastAsia="SimSun"/>
          <w:sz w:val="22"/>
          <w:szCs w:val="22"/>
        </w:rPr>
      </w:pPr>
    </w:p>
    <w:p w:rsidR="00591A77" w:rsidRDefault="00591A77"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5772A" w:rsidRDefault="00CE43CC" w:rsidP="00CC1203">
      <w:pPr>
        <w:pStyle w:val="ListParagraph"/>
        <w:numPr>
          <w:ilvl w:val="0"/>
          <w:numId w:val="18"/>
        </w:numPr>
        <w:rPr>
          <w:sz w:val="22"/>
          <w:szCs w:val="22"/>
        </w:rPr>
      </w:pPr>
      <w:r w:rsidRPr="00EB0F93">
        <w:rPr>
          <w:sz w:val="22"/>
          <w:szCs w:val="22"/>
          <w:u w:val="single"/>
        </w:rPr>
        <w:t>Deferasirox (Exjade</w:t>
      </w:r>
      <w:r w:rsidRPr="00CE43CC">
        <w:rPr>
          <w:sz w:val="22"/>
          <w:szCs w:val="22"/>
        </w:rPr>
        <w:t>)</w:t>
      </w:r>
      <w:r w:rsidR="00EB0F93">
        <w:rPr>
          <w:sz w:val="22"/>
          <w:szCs w:val="22"/>
        </w:rPr>
        <w:t xml:space="preserve"> -</w:t>
      </w:r>
      <w:r w:rsidRPr="00CE43CC">
        <w:rPr>
          <w:sz w:val="22"/>
          <w:szCs w:val="22"/>
        </w:rPr>
        <w:t xml:space="preserve"> change in formulation from Dis</w:t>
      </w:r>
      <w:r w:rsidR="00781596">
        <w:rPr>
          <w:sz w:val="22"/>
          <w:szCs w:val="22"/>
        </w:rPr>
        <w:t>persible Tablets to film coated – currently it is on the formulary as dispersible tablets and these are to be discontinued so the formulary would need amendment to specific film coated tablets.</w:t>
      </w:r>
    </w:p>
    <w:p w:rsidR="00EB0F93" w:rsidRPr="00CC1203" w:rsidRDefault="00CC1203" w:rsidP="00CC1203">
      <w:pPr>
        <w:jc w:val="right"/>
        <w:rPr>
          <w:b/>
          <w:sz w:val="22"/>
          <w:szCs w:val="22"/>
        </w:rPr>
      </w:pPr>
      <w:r w:rsidRPr="00CC1203">
        <w:rPr>
          <w:b/>
          <w:sz w:val="22"/>
          <w:szCs w:val="22"/>
        </w:rPr>
        <w:t>Action: AT</w:t>
      </w:r>
    </w:p>
    <w:p w:rsidR="00CC1203" w:rsidRDefault="00CC1203" w:rsidP="00CE43CC">
      <w:pPr>
        <w:pStyle w:val="ListParagraph"/>
        <w:ind w:left="0"/>
        <w:rPr>
          <w:sz w:val="22"/>
          <w:szCs w:val="22"/>
        </w:rPr>
      </w:pPr>
    </w:p>
    <w:p w:rsidR="00EB0F93" w:rsidRDefault="00EB0F93" w:rsidP="00CC1203">
      <w:pPr>
        <w:pStyle w:val="ListParagraph"/>
        <w:numPr>
          <w:ilvl w:val="0"/>
          <w:numId w:val="18"/>
        </w:numPr>
        <w:rPr>
          <w:sz w:val="22"/>
          <w:szCs w:val="22"/>
        </w:rPr>
      </w:pPr>
      <w:r w:rsidRPr="00EB0F93">
        <w:rPr>
          <w:sz w:val="22"/>
          <w:szCs w:val="22"/>
          <w:u w:val="single"/>
        </w:rPr>
        <w:t>Prednisolone Oral Solution</w:t>
      </w:r>
      <w:r>
        <w:rPr>
          <w:sz w:val="22"/>
          <w:szCs w:val="22"/>
        </w:rPr>
        <w:t xml:space="preserve"> – already in use in </w:t>
      </w:r>
      <w:proofErr w:type="spellStart"/>
      <w:r>
        <w:rPr>
          <w:sz w:val="22"/>
          <w:szCs w:val="22"/>
        </w:rPr>
        <w:t>NLaG</w:t>
      </w:r>
      <w:proofErr w:type="spellEnd"/>
      <w:r>
        <w:rPr>
          <w:sz w:val="22"/>
          <w:szCs w:val="22"/>
        </w:rPr>
        <w:t xml:space="preserve"> </w:t>
      </w:r>
      <w:r w:rsidR="0009078C">
        <w:rPr>
          <w:sz w:val="22"/>
          <w:szCs w:val="22"/>
        </w:rPr>
        <w:t>but could</w:t>
      </w:r>
      <w:r>
        <w:rPr>
          <w:sz w:val="22"/>
          <w:szCs w:val="22"/>
        </w:rPr>
        <w:t xml:space="preserve"> be used in Primary Care.</w:t>
      </w:r>
    </w:p>
    <w:p w:rsidR="00EB0F93" w:rsidRDefault="00EB0F93" w:rsidP="00CE43CC">
      <w:pPr>
        <w:pStyle w:val="ListParagraph"/>
        <w:ind w:left="0"/>
        <w:rPr>
          <w:sz w:val="22"/>
          <w:szCs w:val="22"/>
        </w:rPr>
      </w:pPr>
    </w:p>
    <w:p w:rsidR="00CC1203" w:rsidRDefault="00EB0F93" w:rsidP="00CC1203">
      <w:pPr>
        <w:pStyle w:val="ListParagraph"/>
        <w:numPr>
          <w:ilvl w:val="0"/>
          <w:numId w:val="18"/>
        </w:numPr>
        <w:rPr>
          <w:sz w:val="22"/>
          <w:szCs w:val="22"/>
        </w:rPr>
      </w:pPr>
      <w:r w:rsidRPr="00EB0F93">
        <w:rPr>
          <w:sz w:val="22"/>
          <w:szCs w:val="22"/>
          <w:u w:val="single"/>
        </w:rPr>
        <w:t>Perioperative Prescribing</w:t>
      </w:r>
      <w:r>
        <w:rPr>
          <w:sz w:val="22"/>
          <w:szCs w:val="22"/>
        </w:rPr>
        <w:t xml:space="preserve"> – issue raised by Dr Chat</w:t>
      </w:r>
      <w:r w:rsidR="00CC1203">
        <w:rPr>
          <w:sz w:val="22"/>
          <w:szCs w:val="22"/>
        </w:rPr>
        <w:t>h</w:t>
      </w:r>
      <w:r>
        <w:rPr>
          <w:sz w:val="22"/>
          <w:szCs w:val="22"/>
        </w:rPr>
        <w:t xml:space="preserve">ley – </w:t>
      </w:r>
      <w:r w:rsidR="00CC1203">
        <w:rPr>
          <w:sz w:val="22"/>
          <w:szCs w:val="22"/>
        </w:rPr>
        <w:t xml:space="preserve">It was noted that </w:t>
      </w:r>
      <w:r>
        <w:rPr>
          <w:sz w:val="22"/>
          <w:szCs w:val="22"/>
        </w:rPr>
        <w:t>GPs</w:t>
      </w:r>
      <w:r w:rsidR="00CC1203">
        <w:rPr>
          <w:sz w:val="22"/>
          <w:szCs w:val="22"/>
        </w:rPr>
        <w:t xml:space="preserve"> are</w:t>
      </w:r>
      <w:r>
        <w:rPr>
          <w:sz w:val="22"/>
          <w:szCs w:val="22"/>
        </w:rPr>
        <w:t xml:space="preserve"> being asked to prescribe</w:t>
      </w:r>
      <w:r w:rsidR="0009078C">
        <w:rPr>
          <w:sz w:val="22"/>
          <w:szCs w:val="22"/>
        </w:rPr>
        <w:t xml:space="preserve"> anticoagulants for </w:t>
      </w:r>
      <w:proofErr w:type="gramStart"/>
      <w:r w:rsidR="0009078C">
        <w:rPr>
          <w:sz w:val="22"/>
          <w:szCs w:val="22"/>
        </w:rPr>
        <w:t>patients</w:t>
      </w:r>
      <w:proofErr w:type="gramEnd"/>
      <w:r>
        <w:rPr>
          <w:sz w:val="22"/>
          <w:szCs w:val="22"/>
        </w:rPr>
        <w:t xml:space="preserve"> </w:t>
      </w:r>
      <w:proofErr w:type="spellStart"/>
      <w:r>
        <w:rPr>
          <w:sz w:val="22"/>
          <w:szCs w:val="22"/>
        </w:rPr>
        <w:t>perioperative</w:t>
      </w:r>
      <w:r w:rsidR="00CC1203">
        <w:rPr>
          <w:sz w:val="22"/>
          <w:szCs w:val="22"/>
        </w:rPr>
        <w:t>ly</w:t>
      </w:r>
      <w:proofErr w:type="spellEnd"/>
      <w:r w:rsidR="00CC1203">
        <w:rPr>
          <w:sz w:val="22"/>
          <w:szCs w:val="22"/>
        </w:rPr>
        <w:t xml:space="preserve"> for </w:t>
      </w:r>
      <w:r>
        <w:rPr>
          <w:sz w:val="22"/>
          <w:szCs w:val="22"/>
        </w:rPr>
        <w:t>such as endoscopy procedures</w:t>
      </w:r>
      <w:r w:rsidR="00CC1203">
        <w:rPr>
          <w:sz w:val="22"/>
          <w:szCs w:val="22"/>
        </w:rPr>
        <w:t xml:space="preserve"> and</w:t>
      </w:r>
      <w:r>
        <w:rPr>
          <w:sz w:val="22"/>
          <w:szCs w:val="22"/>
        </w:rPr>
        <w:t xml:space="preserve"> cardiac inversions with very little information given.  PF could take this back to NLaG but felt that this could cause issues with pre-op appointments as the clinics were not always run by a prescriber.</w:t>
      </w:r>
      <w:r w:rsidR="009851F2">
        <w:rPr>
          <w:sz w:val="22"/>
          <w:szCs w:val="22"/>
        </w:rPr>
        <w:t xml:space="preserve">  </w:t>
      </w:r>
      <w:r w:rsidR="00CC1203">
        <w:rPr>
          <w:sz w:val="22"/>
          <w:szCs w:val="22"/>
        </w:rPr>
        <w:t xml:space="preserve">It was agreed that he would take </w:t>
      </w:r>
      <w:r w:rsidR="009851F2">
        <w:rPr>
          <w:sz w:val="22"/>
          <w:szCs w:val="22"/>
        </w:rPr>
        <w:t>this issue back to Radiology Services but it was felt that this was a commission pathway/service design issue</w:t>
      </w:r>
      <w:r w:rsidR="00BF1A79">
        <w:rPr>
          <w:sz w:val="22"/>
          <w:szCs w:val="22"/>
        </w:rPr>
        <w:t xml:space="preserve"> and would need to be discussed outside of the APC</w:t>
      </w:r>
      <w:r w:rsidR="009851F2">
        <w:rPr>
          <w:sz w:val="22"/>
          <w:szCs w:val="22"/>
        </w:rPr>
        <w:t xml:space="preserve">.  The LMC view had been given </w:t>
      </w:r>
      <w:r w:rsidR="00CC1203">
        <w:rPr>
          <w:sz w:val="22"/>
          <w:szCs w:val="22"/>
        </w:rPr>
        <w:t xml:space="preserve">stating </w:t>
      </w:r>
      <w:r w:rsidR="009851F2">
        <w:rPr>
          <w:sz w:val="22"/>
          <w:szCs w:val="22"/>
        </w:rPr>
        <w:t>that the responsibi</w:t>
      </w:r>
      <w:r w:rsidR="00BF1A79">
        <w:rPr>
          <w:sz w:val="22"/>
          <w:szCs w:val="22"/>
        </w:rPr>
        <w:t>lity lies with Secondary Care and it was felt therefore that they may have come across the issue before and it would be worth finding out what happens in Hull.  RS would investigate with Karen Balaney outside of the APC.</w:t>
      </w:r>
    </w:p>
    <w:p w:rsidR="00CC1203" w:rsidRPr="00CC1203" w:rsidRDefault="00CC1203" w:rsidP="00CC1203">
      <w:pPr>
        <w:jc w:val="right"/>
        <w:rPr>
          <w:b/>
          <w:sz w:val="22"/>
          <w:szCs w:val="22"/>
        </w:rPr>
      </w:pPr>
      <w:r w:rsidRPr="00CC1203">
        <w:rPr>
          <w:b/>
          <w:sz w:val="22"/>
          <w:szCs w:val="22"/>
        </w:rPr>
        <w:t>Action: RS</w:t>
      </w:r>
    </w:p>
    <w:p w:rsidR="00913843" w:rsidRDefault="00913843" w:rsidP="00CE43CC">
      <w:pPr>
        <w:pStyle w:val="ListParagraph"/>
        <w:ind w:left="0"/>
        <w:rPr>
          <w:sz w:val="22"/>
          <w:szCs w:val="22"/>
        </w:rPr>
      </w:pPr>
    </w:p>
    <w:p w:rsidR="00913843" w:rsidRPr="00CE43CC" w:rsidRDefault="00913843" w:rsidP="00CC1203">
      <w:pPr>
        <w:pStyle w:val="ListParagraph"/>
        <w:numPr>
          <w:ilvl w:val="0"/>
          <w:numId w:val="18"/>
        </w:numPr>
        <w:rPr>
          <w:sz w:val="22"/>
          <w:szCs w:val="22"/>
        </w:rPr>
      </w:pPr>
      <w:r w:rsidRPr="00913843">
        <w:rPr>
          <w:sz w:val="22"/>
          <w:szCs w:val="22"/>
          <w:u w:val="single"/>
        </w:rPr>
        <w:t>Gender ID Clinic</w:t>
      </w:r>
      <w:r>
        <w:rPr>
          <w:sz w:val="22"/>
          <w:szCs w:val="22"/>
        </w:rPr>
        <w:t xml:space="preserve"> – prescribing for hormonal treatments for patients who are undergoing gender change – national guidelines state that there should be a shared care agreements in place.  GPs do not see any of these patients they are seen at </w:t>
      </w:r>
      <w:r w:rsidR="00CC1203">
        <w:rPr>
          <w:sz w:val="22"/>
          <w:szCs w:val="22"/>
        </w:rPr>
        <w:t xml:space="preserve">the </w:t>
      </w:r>
      <w:r>
        <w:rPr>
          <w:sz w:val="22"/>
          <w:szCs w:val="22"/>
        </w:rPr>
        <w:t xml:space="preserve">Gender Identity Clinic and issues arise when they are discharged from Leeds.  PF agreed to write to Liz Kay the Chief </w:t>
      </w:r>
      <w:r w:rsidR="00EC783D">
        <w:rPr>
          <w:sz w:val="22"/>
          <w:szCs w:val="22"/>
        </w:rPr>
        <w:t>Pharmacist</w:t>
      </w:r>
      <w:r>
        <w:rPr>
          <w:sz w:val="22"/>
          <w:szCs w:val="22"/>
        </w:rPr>
        <w:t xml:space="preserve">, at Leeds, to see if shared care was in place for other areas and we could ask to look at this </w:t>
      </w:r>
      <w:r w:rsidR="00CC1203">
        <w:rPr>
          <w:sz w:val="22"/>
          <w:szCs w:val="22"/>
        </w:rPr>
        <w:t xml:space="preserve">with a view to further </w:t>
      </w:r>
      <w:r w:rsidR="00EC783D">
        <w:rPr>
          <w:sz w:val="22"/>
          <w:szCs w:val="22"/>
        </w:rPr>
        <w:t>discussions</w:t>
      </w:r>
      <w:r w:rsidR="00CC1203">
        <w:rPr>
          <w:sz w:val="22"/>
          <w:szCs w:val="22"/>
        </w:rPr>
        <w:t xml:space="preserve"> at the </w:t>
      </w:r>
      <w:r>
        <w:rPr>
          <w:sz w:val="22"/>
          <w:szCs w:val="22"/>
        </w:rPr>
        <w:t>APC.</w:t>
      </w:r>
    </w:p>
    <w:p w:rsidR="0080634A" w:rsidRPr="00CC1203" w:rsidRDefault="00CC1203" w:rsidP="00CC1203">
      <w:pPr>
        <w:pStyle w:val="NoSpacing"/>
        <w:jc w:val="right"/>
        <w:rPr>
          <w:rFonts w:ascii="Arial" w:hAnsi="Arial" w:cs="Arial"/>
          <w:b/>
        </w:rPr>
      </w:pPr>
      <w:r w:rsidRPr="00CC1203">
        <w:rPr>
          <w:rFonts w:ascii="Arial" w:hAnsi="Arial" w:cs="Arial"/>
          <w:b/>
        </w:rPr>
        <w:t>Action: PF</w:t>
      </w:r>
    </w:p>
    <w:p w:rsidR="00CC1203" w:rsidRDefault="00CC1203" w:rsidP="0080634A">
      <w:pPr>
        <w:pStyle w:val="NoSpacing"/>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F7B04" w:rsidRPr="00715616" w:rsidRDefault="000F7B04" w:rsidP="000F7B04">
      <w:pPr>
        <w:pStyle w:val="NoSpacing"/>
        <w:jc w:val="both"/>
        <w:rPr>
          <w:rFonts w:ascii="Arial" w:hAnsi="Arial" w:cs="Arial"/>
        </w:rPr>
      </w:pPr>
    </w:p>
    <w:p w:rsidR="00D77CBE" w:rsidRDefault="00BF6C04" w:rsidP="009628F4">
      <w:pPr>
        <w:pStyle w:val="NoSpacing"/>
        <w:rPr>
          <w:rFonts w:ascii="Arial" w:hAnsi="Arial" w:cs="Arial"/>
        </w:rPr>
      </w:pPr>
      <w:r>
        <w:rPr>
          <w:rFonts w:ascii="Arial" w:hAnsi="Arial" w:cs="Arial"/>
        </w:rPr>
        <w:t xml:space="preserve">Thursday </w:t>
      </w:r>
      <w:r w:rsidR="00CE43CC">
        <w:rPr>
          <w:rFonts w:ascii="Arial" w:hAnsi="Arial" w:cs="Arial"/>
        </w:rPr>
        <w:t xml:space="preserve">20 July </w:t>
      </w:r>
      <w:r>
        <w:rPr>
          <w:rFonts w:ascii="Arial" w:hAnsi="Arial" w:cs="Arial"/>
        </w:rPr>
        <w:t xml:space="preserve"> 2017, 2 pm to 4 pm,</w:t>
      </w:r>
      <w:r w:rsidR="00CE43CC">
        <w:rPr>
          <w:rFonts w:ascii="Arial" w:hAnsi="Arial" w:cs="Arial"/>
        </w:rPr>
        <w:t xml:space="preserve"> Health Place, Brigg</w:t>
      </w:r>
      <w:r w:rsidR="009628F4">
        <w:rPr>
          <w:rFonts w:ascii="Arial" w:hAnsi="Arial" w:cs="Arial"/>
        </w:rPr>
        <w:t xml:space="preserve">.  </w:t>
      </w:r>
    </w:p>
    <w:p w:rsidR="00CC1203" w:rsidRDefault="00CC1203" w:rsidP="009628F4">
      <w:pPr>
        <w:pStyle w:val="NoSpacing"/>
        <w:rPr>
          <w:rFonts w:ascii="Arial" w:hAnsi="Arial" w:cs="Arial"/>
        </w:rPr>
      </w:pPr>
    </w:p>
    <w:p w:rsidR="00D240E3" w:rsidRDefault="00CC1203" w:rsidP="009628F4">
      <w:pPr>
        <w:pStyle w:val="NoSpacing"/>
        <w:rPr>
          <w:rFonts w:ascii="Arial" w:hAnsi="Arial" w:cs="Arial"/>
        </w:rPr>
      </w:pPr>
      <w:r>
        <w:rPr>
          <w:rFonts w:ascii="Arial" w:hAnsi="Arial" w:cs="Arial"/>
        </w:rPr>
        <w:t xml:space="preserve">Following the ‘survey monkey’ and the revision of the schedule it </w:t>
      </w:r>
      <w:r w:rsidR="00913843">
        <w:rPr>
          <w:rFonts w:ascii="Arial" w:hAnsi="Arial" w:cs="Arial"/>
        </w:rPr>
        <w:t>was agreed to keep the next meeting as 20 July 2017</w:t>
      </w:r>
      <w:r>
        <w:rPr>
          <w:rFonts w:ascii="Arial" w:hAnsi="Arial" w:cs="Arial"/>
        </w:rPr>
        <w:t>, at Health Place, Brigg,</w:t>
      </w:r>
      <w:r w:rsidR="00913843">
        <w:rPr>
          <w:rFonts w:ascii="Arial" w:hAnsi="Arial" w:cs="Arial"/>
        </w:rPr>
        <w:t xml:space="preserve"> but </w:t>
      </w:r>
      <w:r w:rsidR="008A69EB">
        <w:rPr>
          <w:rFonts w:ascii="Arial" w:hAnsi="Arial" w:cs="Arial"/>
        </w:rPr>
        <w:t xml:space="preserve">from August onwards revert back </w:t>
      </w:r>
      <w:r>
        <w:rPr>
          <w:rFonts w:ascii="Arial" w:hAnsi="Arial" w:cs="Arial"/>
        </w:rPr>
        <w:t>to the second Thursday of the month.</w:t>
      </w:r>
    </w:p>
    <w:p w:rsidR="00D240E3" w:rsidRDefault="00D240E3">
      <w:pPr>
        <w:suppressAutoHyphens w:val="0"/>
        <w:spacing w:line="240" w:lineRule="auto"/>
        <w:rPr>
          <w:rFonts w:eastAsia="SimSun"/>
          <w:sz w:val="22"/>
          <w:szCs w:val="22"/>
        </w:rPr>
      </w:pPr>
    </w:p>
    <w:p w:rsidR="00C63A36" w:rsidRDefault="00C63A36" w:rsidP="009628F4">
      <w:pPr>
        <w:pStyle w:val="NoSpacing"/>
        <w:rPr>
          <w:rFonts w:ascii="Arial" w:hAnsi="Arial" w:cs="Arial"/>
        </w:rPr>
      </w:pPr>
    </w:p>
    <w:p w:rsidR="007D2741" w:rsidRDefault="007D2741" w:rsidP="009628F4">
      <w:pPr>
        <w:pStyle w:val="NoSpacing"/>
        <w:jc w:val="right"/>
        <w:rPr>
          <w:rFonts w:ascii="Arial" w:hAnsi="Arial" w:cs="Arial"/>
          <w:b/>
        </w:rPr>
        <w:sectPr w:rsidR="007D2741" w:rsidSect="00104321">
          <w:footerReference w:type="default" r:id="rId10"/>
          <w:pgSz w:w="11906" w:h="16838"/>
          <w:pgMar w:top="1440" w:right="1440" w:bottom="1440" w:left="1440" w:header="720" w:footer="720" w:gutter="0"/>
          <w:cols w:space="720"/>
          <w:docGrid w:linePitch="360" w:charSpace="32768"/>
        </w:sectPr>
      </w:pPr>
    </w:p>
    <w:p w:rsidR="007D2741" w:rsidRPr="0084278B" w:rsidRDefault="007D2741" w:rsidP="007D2741">
      <w:pPr>
        <w:spacing w:before="240" w:after="120"/>
        <w:ind w:left="142"/>
        <w:outlineLvl w:val="0"/>
        <w:rPr>
          <w:b/>
          <w:color w:val="006699"/>
          <w:sz w:val="20"/>
        </w:rPr>
      </w:pPr>
      <w:r w:rsidRPr="0084278B">
        <w:rPr>
          <w:b/>
          <w:color w:val="3366FF"/>
        </w:rPr>
        <w:t>NICE guidance (</w:t>
      </w:r>
      <w:r>
        <w:rPr>
          <w:b/>
          <w:color w:val="3366FF"/>
        </w:rPr>
        <w:t>April 2017</w:t>
      </w:r>
      <w:r w:rsidRPr="0084278B">
        <w:rPr>
          <w:b/>
          <w:color w:val="3366FF"/>
        </w:rPr>
        <w:t>)</w:t>
      </w:r>
      <w:r w:rsidRPr="0084278B">
        <w:rPr>
          <w:b/>
          <w:color w:val="0000FF"/>
          <w:sz w:val="20"/>
        </w:rPr>
        <w:t xml:space="preserve"> </w:t>
      </w:r>
      <w:hyperlink r:id="rId11" w:history="1">
        <w:r w:rsidRPr="0084278B">
          <w:rPr>
            <w:rStyle w:val="Hyperlink"/>
            <w:b/>
            <w:color w:val="006699"/>
            <w:sz w:val="20"/>
          </w:rPr>
          <w:t>http://www.nice.org.uk</w:t>
        </w:r>
      </w:hyperlink>
    </w:p>
    <w:p w:rsidR="007D2741" w:rsidRPr="00564538" w:rsidRDefault="007D2741" w:rsidP="007D2741">
      <w:pPr>
        <w:spacing w:before="240" w:after="120"/>
        <w:ind w:left="142"/>
        <w:outlineLvl w:val="0"/>
        <w:rPr>
          <w:b/>
          <w:i/>
        </w:rPr>
      </w:pPr>
      <w:r>
        <w:rPr>
          <w:b/>
          <w:i/>
        </w:rPr>
        <w:t>Technology a</w:t>
      </w:r>
      <w:r w:rsidRPr="00564538">
        <w:rPr>
          <w:b/>
          <w:i/>
        </w:rPr>
        <w:t>ppraisals</w:t>
      </w:r>
    </w:p>
    <w:tbl>
      <w:tblPr>
        <w:tblW w:w="14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237"/>
        <w:gridCol w:w="5007"/>
      </w:tblGrid>
      <w:tr w:rsidR="007D2741" w:rsidRPr="007E58ED" w:rsidTr="0073695A">
        <w:trPr>
          <w:cantSplit/>
          <w:tblHeader/>
        </w:trPr>
        <w:tc>
          <w:tcPr>
            <w:tcW w:w="2977" w:type="dxa"/>
            <w:shd w:val="clear" w:color="auto" w:fill="000080"/>
          </w:tcPr>
          <w:p w:rsidR="007D2741" w:rsidRPr="006363C3" w:rsidRDefault="007D2741" w:rsidP="0073695A">
            <w:pPr>
              <w:widowControl w:val="0"/>
              <w:rPr>
                <w:b/>
                <w:color w:val="FFFFFF"/>
                <w:sz w:val="20"/>
              </w:rPr>
            </w:pPr>
            <w:r w:rsidRPr="006363C3">
              <w:rPr>
                <w:b/>
                <w:color w:val="FFFFFF"/>
                <w:sz w:val="20"/>
              </w:rPr>
              <w:t>Title</w:t>
            </w:r>
          </w:p>
        </w:tc>
        <w:tc>
          <w:tcPr>
            <w:tcW w:w="6237" w:type="dxa"/>
            <w:shd w:val="clear" w:color="auto" w:fill="000080"/>
          </w:tcPr>
          <w:p w:rsidR="007D2741" w:rsidRPr="006363C3" w:rsidRDefault="007D2741" w:rsidP="0073695A">
            <w:pPr>
              <w:widowControl w:val="0"/>
              <w:rPr>
                <w:b/>
                <w:color w:val="FFFFFF"/>
                <w:sz w:val="16"/>
                <w:szCs w:val="16"/>
              </w:rPr>
            </w:pPr>
            <w:r w:rsidRPr="006363C3">
              <w:rPr>
                <w:b/>
                <w:color w:val="FFFFFF"/>
                <w:sz w:val="16"/>
                <w:szCs w:val="16"/>
              </w:rPr>
              <w:t>Summary</w:t>
            </w:r>
          </w:p>
        </w:tc>
        <w:tc>
          <w:tcPr>
            <w:tcW w:w="5007" w:type="dxa"/>
            <w:shd w:val="clear" w:color="auto" w:fill="000080"/>
          </w:tcPr>
          <w:p w:rsidR="007D2741" w:rsidRPr="006363C3" w:rsidRDefault="007D2741" w:rsidP="0073695A">
            <w:pPr>
              <w:widowControl w:val="0"/>
              <w:rPr>
                <w:b/>
                <w:color w:val="FFFFFF"/>
                <w:sz w:val="20"/>
              </w:rPr>
            </w:pPr>
            <w:r w:rsidRPr="006363C3">
              <w:rPr>
                <w:b/>
                <w:color w:val="FFFFFF"/>
                <w:sz w:val="20"/>
              </w:rPr>
              <w:t>Potential cost impact</w:t>
            </w:r>
          </w:p>
        </w:tc>
      </w:tr>
      <w:tr w:rsidR="007D2741" w:rsidRPr="00DE6288" w:rsidTr="0073695A">
        <w:trPr>
          <w:cantSplit/>
        </w:trPr>
        <w:tc>
          <w:tcPr>
            <w:tcW w:w="2977" w:type="dxa"/>
            <w:shd w:val="clear" w:color="auto" w:fill="auto"/>
          </w:tcPr>
          <w:p w:rsidR="007D2741" w:rsidRDefault="00743EC6" w:rsidP="0073695A">
            <w:pPr>
              <w:rPr>
                <w:sz w:val="20"/>
              </w:rPr>
            </w:pPr>
            <w:hyperlink r:id="rId12" w:history="1">
              <w:r w:rsidR="007D2741" w:rsidRPr="00EC3535">
                <w:rPr>
                  <w:rStyle w:val="Hyperlink"/>
                  <w:sz w:val="20"/>
                </w:rPr>
                <w:t>TA440</w:t>
              </w:r>
            </w:hyperlink>
            <w:r w:rsidR="007D2741">
              <w:rPr>
                <w:sz w:val="20"/>
              </w:rPr>
              <w:t xml:space="preserve">: </w:t>
            </w:r>
            <w:proofErr w:type="spellStart"/>
            <w:r w:rsidR="007D2741">
              <w:rPr>
                <w:sz w:val="20"/>
              </w:rPr>
              <w:t>Pegylated</w:t>
            </w:r>
            <w:proofErr w:type="spellEnd"/>
            <w:r w:rsidR="007D2741">
              <w:rPr>
                <w:sz w:val="20"/>
              </w:rPr>
              <w:t xml:space="preserve"> liposomal irinotecan for treating pancreatic cancer after gemcitabine</w:t>
            </w:r>
          </w:p>
          <w:p w:rsidR="00E46C18" w:rsidRDefault="00E46C18" w:rsidP="0073695A">
            <w:pPr>
              <w:rPr>
                <w:sz w:val="20"/>
              </w:rPr>
            </w:pPr>
          </w:p>
          <w:p w:rsidR="00E46C18" w:rsidRPr="00E46C18" w:rsidRDefault="00E46C18" w:rsidP="0073695A">
            <w:pPr>
              <w:rPr>
                <w:b/>
                <w:sz w:val="20"/>
                <w:u w:val="single"/>
              </w:rPr>
            </w:pPr>
            <w:r w:rsidRPr="00E46C18">
              <w:rPr>
                <w:b/>
                <w:sz w:val="20"/>
                <w:u w:val="single"/>
              </w:rPr>
              <w:t>Approved not added to the formulary</w:t>
            </w:r>
          </w:p>
          <w:p w:rsidR="00E46C18" w:rsidRPr="00DE6288" w:rsidRDefault="00E46C18" w:rsidP="0073695A">
            <w:pPr>
              <w:rPr>
                <w:sz w:val="20"/>
              </w:rPr>
            </w:pPr>
          </w:p>
        </w:tc>
        <w:tc>
          <w:tcPr>
            <w:tcW w:w="6237" w:type="dxa"/>
            <w:shd w:val="clear" w:color="auto" w:fill="auto"/>
          </w:tcPr>
          <w:p w:rsidR="007D2741" w:rsidRPr="00DE6288" w:rsidRDefault="007D2741" w:rsidP="0073695A">
            <w:pPr>
              <w:rPr>
                <w:sz w:val="20"/>
              </w:rPr>
            </w:pPr>
            <w:proofErr w:type="spellStart"/>
            <w:r w:rsidRPr="00C255F2">
              <w:rPr>
                <w:sz w:val="20"/>
              </w:rPr>
              <w:t>Pegylated</w:t>
            </w:r>
            <w:proofErr w:type="spellEnd"/>
            <w:r w:rsidRPr="00C255F2">
              <w:rPr>
                <w:sz w:val="20"/>
              </w:rPr>
              <w:t xml:space="preserve"> liposomal irinotecan, in combination with 5</w:t>
            </w:r>
            <w:r w:rsidRPr="00C255F2">
              <w:rPr>
                <w:rFonts w:ascii="MS Gothic" w:eastAsia="MS Gothic" w:hAnsi="MS Gothic" w:cs="MS Gothic" w:hint="eastAsia"/>
                <w:sz w:val="20"/>
              </w:rPr>
              <w:t>‑</w:t>
            </w:r>
            <w:r w:rsidRPr="00C255F2">
              <w:rPr>
                <w:sz w:val="20"/>
              </w:rPr>
              <w:t xml:space="preserve">fluorouracil and </w:t>
            </w:r>
            <w:proofErr w:type="spellStart"/>
            <w:r w:rsidRPr="00C255F2">
              <w:rPr>
                <w:sz w:val="20"/>
              </w:rPr>
              <w:t>leucovorin</w:t>
            </w:r>
            <w:proofErr w:type="spellEnd"/>
            <w:r w:rsidRPr="00C255F2">
              <w:rPr>
                <w:sz w:val="20"/>
              </w:rPr>
              <w:t>, is not recommended, within its marketing authorisation, for treating metastatic adenocarcinoma of the pancreas in adults whose disease has progressed after gemcitabine-based therapy.</w:t>
            </w:r>
          </w:p>
        </w:tc>
        <w:tc>
          <w:tcPr>
            <w:tcW w:w="5007" w:type="dxa"/>
            <w:shd w:val="clear" w:color="auto" w:fill="auto"/>
          </w:tcPr>
          <w:p w:rsidR="007D2741" w:rsidRPr="006B4666" w:rsidRDefault="007D2741" w:rsidP="0073695A">
            <w:pPr>
              <w:rPr>
                <w:sz w:val="20"/>
              </w:rPr>
            </w:pPr>
            <w:r>
              <w:rPr>
                <w:sz w:val="20"/>
              </w:rPr>
              <w:t>No impact anticipated.</w:t>
            </w:r>
          </w:p>
        </w:tc>
      </w:tr>
      <w:tr w:rsidR="007D2741" w:rsidRPr="00DE6288" w:rsidTr="0073695A">
        <w:trPr>
          <w:cantSplit/>
        </w:trPr>
        <w:tc>
          <w:tcPr>
            <w:tcW w:w="2977" w:type="dxa"/>
            <w:shd w:val="clear" w:color="auto" w:fill="auto"/>
          </w:tcPr>
          <w:p w:rsidR="007D2741" w:rsidRDefault="00743EC6" w:rsidP="0073695A">
            <w:pPr>
              <w:rPr>
                <w:sz w:val="20"/>
              </w:rPr>
            </w:pPr>
            <w:hyperlink r:id="rId13" w:history="1">
              <w:r w:rsidR="007D2741" w:rsidRPr="00EC3535">
                <w:rPr>
                  <w:rStyle w:val="Hyperlink"/>
                  <w:sz w:val="20"/>
                </w:rPr>
                <w:t>TA441</w:t>
              </w:r>
            </w:hyperlink>
            <w:r w:rsidR="007D2741">
              <w:rPr>
                <w:sz w:val="20"/>
              </w:rPr>
              <w:t xml:space="preserve">: </w:t>
            </w:r>
            <w:proofErr w:type="spellStart"/>
            <w:r w:rsidR="007D2741">
              <w:rPr>
                <w:sz w:val="20"/>
              </w:rPr>
              <w:t>Daclizumab</w:t>
            </w:r>
            <w:proofErr w:type="spellEnd"/>
            <w:r w:rsidR="007D2741">
              <w:rPr>
                <w:sz w:val="20"/>
              </w:rPr>
              <w:t xml:space="preserve"> for treating relapsing-remitting multiple sclerosis</w:t>
            </w:r>
          </w:p>
          <w:p w:rsidR="00E46C18" w:rsidRDefault="00E46C18" w:rsidP="0073695A">
            <w:pPr>
              <w:rPr>
                <w:sz w:val="20"/>
              </w:rPr>
            </w:pPr>
          </w:p>
          <w:p w:rsidR="00E46C18" w:rsidRPr="00E46C18" w:rsidRDefault="00E46C18" w:rsidP="0073695A">
            <w:pPr>
              <w:rPr>
                <w:b/>
                <w:sz w:val="20"/>
                <w:u w:val="single"/>
              </w:rPr>
            </w:pPr>
            <w:r w:rsidRPr="00E46C18">
              <w:rPr>
                <w:b/>
                <w:sz w:val="20"/>
                <w:u w:val="single"/>
              </w:rPr>
              <w:t>Specialist Commissioning outside of APC remit</w:t>
            </w:r>
          </w:p>
        </w:tc>
        <w:tc>
          <w:tcPr>
            <w:tcW w:w="6237" w:type="dxa"/>
            <w:shd w:val="clear" w:color="auto" w:fill="auto"/>
          </w:tcPr>
          <w:p w:rsidR="007D2741" w:rsidRPr="00C255F2" w:rsidRDefault="007D2741" w:rsidP="0073695A">
            <w:pPr>
              <w:rPr>
                <w:sz w:val="20"/>
              </w:rPr>
            </w:pPr>
            <w:proofErr w:type="spellStart"/>
            <w:r w:rsidRPr="00C255F2">
              <w:rPr>
                <w:sz w:val="20"/>
              </w:rPr>
              <w:t>Daclizumab</w:t>
            </w:r>
            <w:proofErr w:type="spellEnd"/>
            <w:r w:rsidRPr="00C255F2">
              <w:rPr>
                <w:sz w:val="20"/>
              </w:rPr>
              <w:t xml:space="preserve"> is recommended as an option for treating multiple sclerosis in adults, only if:</w:t>
            </w:r>
          </w:p>
          <w:p w:rsidR="007D2741" w:rsidRPr="00C255F2" w:rsidRDefault="007D2741" w:rsidP="007D2741">
            <w:pPr>
              <w:pStyle w:val="ListParagraph"/>
              <w:numPr>
                <w:ilvl w:val="0"/>
                <w:numId w:val="19"/>
              </w:numPr>
              <w:suppressAutoHyphens w:val="0"/>
              <w:spacing w:before="60" w:after="60" w:line="240" w:lineRule="auto"/>
              <w:rPr>
                <w:sz w:val="20"/>
              </w:rPr>
            </w:pPr>
            <w:r w:rsidRPr="00C255F2">
              <w:rPr>
                <w:sz w:val="20"/>
              </w:rPr>
              <w:t>the person has active relapsing–remitting multiple sclerosis previously treated with disease-modifying therapy, or rapidly evolving severe relapsing–remitting multiple sclerosis (that is, at least 2 relapses in the previous year and at least 1 gadolinium-enhancing lesion at baseline MRI) and</w:t>
            </w:r>
          </w:p>
          <w:p w:rsidR="007D2741" w:rsidRPr="00C255F2" w:rsidRDefault="007D2741" w:rsidP="007D2741">
            <w:pPr>
              <w:pStyle w:val="ListParagraph"/>
              <w:numPr>
                <w:ilvl w:val="0"/>
                <w:numId w:val="19"/>
              </w:numPr>
              <w:suppressAutoHyphens w:val="0"/>
              <w:spacing w:before="60" w:after="60" w:line="240" w:lineRule="auto"/>
              <w:rPr>
                <w:sz w:val="20"/>
              </w:rPr>
            </w:pPr>
            <w:proofErr w:type="spellStart"/>
            <w:r w:rsidRPr="00C255F2">
              <w:rPr>
                <w:sz w:val="20"/>
              </w:rPr>
              <w:t>alemtuzumab</w:t>
            </w:r>
            <w:proofErr w:type="spellEnd"/>
            <w:r w:rsidRPr="00C255F2">
              <w:rPr>
                <w:sz w:val="20"/>
              </w:rPr>
              <w:t xml:space="preserve"> is contraindicated or otherwise unsuitable and</w:t>
            </w:r>
          </w:p>
          <w:p w:rsidR="007D2741" w:rsidRPr="00C255F2" w:rsidRDefault="007D2741" w:rsidP="007D2741">
            <w:pPr>
              <w:pStyle w:val="ListParagraph"/>
              <w:numPr>
                <w:ilvl w:val="0"/>
                <w:numId w:val="19"/>
              </w:numPr>
              <w:suppressAutoHyphens w:val="0"/>
              <w:spacing w:before="60" w:after="60" w:line="240" w:lineRule="auto"/>
              <w:rPr>
                <w:sz w:val="20"/>
              </w:rPr>
            </w:pPr>
            <w:proofErr w:type="gramStart"/>
            <w:r w:rsidRPr="00C255F2">
              <w:rPr>
                <w:sz w:val="20"/>
              </w:rPr>
              <w:t>the</w:t>
            </w:r>
            <w:proofErr w:type="gramEnd"/>
            <w:r w:rsidRPr="00C255F2">
              <w:rPr>
                <w:sz w:val="20"/>
              </w:rPr>
              <w:t xml:space="preserve"> company provides the drug with the discount agreed in the patient access scheme.</w:t>
            </w:r>
          </w:p>
        </w:tc>
        <w:tc>
          <w:tcPr>
            <w:tcW w:w="5007" w:type="dxa"/>
            <w:shd w:val="clear" w:color="auto" w:fill="auto"/>
          </w:tcPr>
          <w:p w:rsidR="007D2741" w:rsidRDefault="007D2741" w:rsidP="0073695A">
            <w:pPr>
              <w:rPr>
                <w:sz w:val="20"/>
              </w:rPr>
            </w:pPr>
            <w:r w:rsidRPr="006B4666">
              <w:rPr>
                <w:sz w:val="20"/>
              </w:rPr>
              <w:t xml:space="preserve">It is estimated that 3,700 people with active relapsing–remitting multiple sclerosis previously treated with disease-modifying therapy or untreated rapidly-evolving severe relapsing–remitting multiple sclerosis are eligible for treatment with </w:t>
            </w:r>
            <w:proofErr w:type="spellStart"/>
            <w:r w:rsidRPr="006B4666">
              <w:rPr>
                <w:sz w:val="20"/>
              </w:rPr>
              <w:t>daclizumab</w:t>
            </w:r>
            <w:proofErr w:type="spellEnd"/>
            <w:r w:rsidRPr="006B4666">
              <w:rPr>
                <w:sz w:val="20"/>
              </w:rPr>
              <w:t xml:space="preserve">. It is estimated that around 1,100 people will have </w:t>
            </w:r>
            <w:proofErr w:type="spellStart"/>
            <w:r w:rsidRPr="006B4666">
              <w:rPr>
                <w:sz w:val="20"/>
              </w:rPr>
              <w:t>daclizumab</w:t>
            </w:r>
            <w:proofErr w:type="spellEnd"/>
            <w:r w:rsidRPr="006B4666">
              <w:rPr>
                <w:sz w:val="20"/>
              </w:rPr>
              <w:t xml:space="preserve"> from year 2021/22 onwards. There may be savings resulting from reduced administration costs associated with </w:t>
            </w:r>
            <w:proofErr w:type="spellStart"/>
            <w:r w:rsidRPr="006B4666">
              <w:rPr>
                <w:sz w:val="20"/>
              </w:rPr>
              <w:t>daclizumab</w:t>
            </w:r>
            <w:proofErr w:type="spellEnd"/>
            <w:r w:rsidRPr="006B4666">
              <w:rPr>
                <w:sz w:val="20"/>
              </w:rPr>
              <w:t xml:space="preserve"> compared with </w:t>
            </w:r>
            <w:proofErr w:type="spellStart"/>
            <w:r w:rsidRPr="006B4666">
              <w:rPr>
                <w:sz w:val="20"/>
              </w:rPr>
              <w:t>natalizumab</w:t>
            </w:r>
            <w:proofErr w:type="spellEnd"/>
            <w:r w:rsidRPr="006B4666">
              <w:rPr>
                <w:sz w:val="20"/>
              </w:rPr>
              <w:t>, which needs infusion inpatient visits</w:t>
            </w:r>
            <w:r>
              <w:rPr>
                <w:sz w:val="20"/>
              </w:rPr>
              <w:t xml:space="preserve">. </w:t>
            </w:r>
          </w:p>
          <w:p w:rsidR="007D2741" w:rsidRDefault="007D2741" w:rsidP="0073695A">
            <w:pPr>
              <w:rPr>
                <w:sz w:val="20"/>
              </w:rPr>
            </w:pPr>
            <w:proofErr w:type="spellStart"/>
            <w:r w:rsidRPr="006B4666">
              <w:rPr>
                <w:sz w:val="20"/>
              </w:rPr>
              <w:t>Daclizumab</w:t>
            </w:r>
            <w:proofErr w:type="spellEnd"/>
            <w:r w:rsidRPr="006B4666">
              <w:rPr>
                <w:sz w:val="20"/>
              </w:rPr>
              <w:t xml:space="preserve"> is an additional treatment option. This technology is supported by a resource impact template which requires the commercial in confidence discounted price of </w:t>
            </w:r>
            <w:proofErr w:type="spellStart"/>
            <w:r w:rsidRPr="006B4666">
              <w:rPr>
                <w:sz w:val="20"/>
              </w:rPr>
              <w:t>daclizumab</w:t>
            </w:r>
            <w:proofErr w:type="spellEnd"/>
            <w:r w:rsidRPr="006B4666">
              <w:rPr>
                <w:sz w:val="20"/>
              </w:rPr>
              <w:t xml:space="preserve"> to be input into the template in order to estimate the resource impact.</w:t>
            </w:r>
          </w:p>
          <w:p w:rsidR="007D2741" w:rsidRPr="006B4666" w:rsidRDefault="007D2741" w:rsidP="0073695A">
            <w:pPr>
              <w:rPr>
                <w:sz w:val="20"/>
              </w:rPr>
            </w:pPr>
            <w:r>
              <w:rPr>
                <w:sz w:val="20"/>
              </w:rPr>
              <w:t xml:space="preserve">Commissioning: NHS England. Assess cost locally. </w:t>
            </w:r>
          </w:p>
        </w:tc>
      </w:tr>
      <w:tr w:rsidR="007D2741" w:rsidRPr="00DE6288" w:rsidTr="0073695A">
        <w:trPr>
          <w:cantSplit/>
        </w:trPr>
        <w:tc>
          <w:tcPr>
            <w:tcW w:w="2977" w:type="dxa"/>
            <w:shd w:val="clear" w:color="auto" w:fill="auto"/>
          </w:tcPr>
          <w:p w:rsidR="007D2741" w:rsidRDefault="00743EC6" w:rsidP="0073695A">
            <w:pPr>
              <w:rPr>
                <w:sz w:val="20"/>
              </w:rPr>
            </w:pPr>
            <w:hyperlink r:id="rId14" w:history="1">
              <w:r w:rsidR="007D2741" w:rsidRPr="00EC3535">
                <w:rPr>
                  <w:rStyle w:val="Hyperlink"/>
                  <w:sz w:val="20"/>
                </w:rPr>
                <w:t>TA442</w:t>
              </w:r>
            </w:hyperlink>
            <w:r w:rsidR="007D2741">
              <w:rPr>
                <w:sz w:val="20"/>
              </w:rPr>
              <w:t xml:space="preserve">: </w:t>
            </w:r>
            <w:proofErr w:type="spellStart"/>
            <w:r w:rsidR="007D2741">
              <w:rPr>
                <w:sz w:val="20"/>
              </w:rPr>
              <w:t>Ixekizumab</w:t>
            </w:r>
            <w:proofErr w:type="spellEnd"/>
            <w:r w:rsidR="007D2741">
              <w:rPr>
                <w:sz w:val="20"/>
              </w:rPr>
              <w:t xml:space="preserve"> for treating moderate to severe plaque psoriasis</w:t>
            </w:r>
          </w:p>
          <w:p w:rsidR="00E46C18" w:rsidRDefault="00E46C18" w:rsidP="0073695A">
            <w:pPr>
              <w:rPr>
                <w:sz w:val="20"/>
              </w:rPr>
            </w:pPr>
          </w:p>
          <w:p w:rsidR="00743EC6" w:rsidRPr="00743EC6" w:rsidRDefault="00743EC6" w:rsidP="0073695A">
            <w:pPr>
              <w:rPr>
                <w:b/>
                <w:sz w:val="20"/>
                <w:u w:val="single"/>
              </w:rPr>
            </w:pPr>
            <w:r w:rsidRPr="00743EC6">
              <w:rPr>
                <w:b/>
                <w:sz w:val="20"/>
                <w:u w:val="single"/>
              </w:rPr>
              <w:t>Adding in line with NICE guidance</w:t>
            </w:r>
            <w:bookmarkStart w:id="0" w:name="_GoBack"/>
            <w:bookmarkEnd w:id="0"/>
          </w:p>
        </w:tc>
        <w:tc>
          <w:tcPr>
            <w:tcW w:w="6237" w:type="dxa"/>
            <w:shd w:val="clear" w:color="auto" w:fill="auto"/>
          </w:tcPr>
          <w:p w:rsidR="007D2741" w:rsidRPr="00482158" w:rsidRDefault="007D2741" w:rsidP="0073695A">
            <w:pPr>
              <w:rPr>
                <w:sz w:val="20"/>
              </w:rPr>
            </w:pPr>
            <w:proofErr w:type="spellStart"/>
            <w:r w:rsidRPr="00482158">
              <w:rPr>
                <w:sz w:val="20"/>
              </w:rPr>
              <w:t>Ixekizumab</w:t>
            </w:r>
            <w:proofErr w:type="spellEnd"/>
            <w:r w:rsidRPr="00482158">
              <w:rPr>
                <w:sz w:val="20"/>
              </w:rPr>
              <w:t xml:space="preserve"> is recommended as an option for treating plaque psoriasis in adults, only if:</w:t>
            </w:r>
          </w:p>
          <w:p w:rsidR="007D2741" w:rsidRPr="00482158" w:rsidRDefault="007D2741" w:rsidP="007D2741">
            <w:pPr>
              <w:pStyle w:val="ListParagraph"/>
              <w:numPr>
                <w:ilvl w:val="0"/>
                <w:numId w:val="21"/>
              </w:numPr>
              <w:suppressAutoHyphens w:val="0"/>
              <w:spacing w:before="60" w:after="60" w:line="240" w:lineRule="auto"/>
              <w:rPr>
                <w:sz w:val="20"/>
              </w:rPr>
            </w:pPr>
            <w:r w:rsidRPr="00482158">
              <w:rPr>
                <w:sz w:val="20"/>
              </w:rPr>
              <w:t>the disease is severe, as defined by a total Psoriasis Area and Severity Index (PASI) of 10 or more and a Dermatology Life Quality Index (DLQI) of more than 10</w:t>
            </w:r>
          </w:p>
          <w:p w:rsidR="007D2741" w:rsidRPr="00482158" w:rsidRDefault="007D2741" w:rsidP="007D2741">
            <w:pPr>
              <w:pStyle w:val="ListParagraph"/>
              <w:numPr>
                <w:ilvl w:val="0"/>
                <w:numId w:val="21"/>
              </w:numPr>
              <w:suppressAutoHyphens w:val="0"/>
              <w:spacing w:before="60" w:after="60" w:line="240" w:lineRule="auto"/>
              <w:rPr>
                <w:sz w:val="20"/>
              </w:rPr>
            </w:pPr>
            <w:r w:rsidRPr="00482158">
              <w:rPr>
                <w:sz w:val="20"/>
              </w:rPr>
              <w:t xml:space="preserve">the disease has not responded to standard systemic therapies, for example, </w:t>
            </w:r>
            <w:proofErr w:type="spellStart"/>
            <w:r w:rsidRPr="00482158">
              <w:rPr>
                <w:sz w:val="20"/>
              </w:rPr>
              <w:t>ciclosporin</w:t>
            </w:r>
            <w:proofErr w:type="spellEnd"/>
            <w:r w:rsidRPr="00482158">
              <w:rPr>
                <w:sz w:val="20"/>
              </w:rPr>
              <w:t>, methotrexate and PUVA (psoralen and long-wave ultraviolet radiation), or these treatments are contraindicated or the person cannot tolerate them, and</w:t>
            </w:r>
          </w:p>
          <w:p w:rsidR="007D2741" w:rsidRPr="00482158" w:rsidRDefault="007D2741" w:rsidP="007D2741">
            <w:pPr>
              <w:pStyle w:val="ListParagraph"/>
              <w:numPr>
                <w:ilvl w:val="0"/>
                <w:numId w:val="21"/>
              </w:numPr>
              <w:suppressAutoHyphens w:val="0"/>
              <w:spacing w:before="60" w:after="60" w:line="240" w:lineRule="auto"/>
              <w:rPr>
                <w:sz w:val="20"/>
              </w:rPr>
            </w:pPr>
            <w:proofErr w:type="gramStart"/>
            <w:r w:rsidRPr="00482158">
              <w:rPr>
                <w:sz w:val="20"/>
              </w:rPr>
              <w:t>the</w:t>
            </w:r>
            <w:proofErr w:type="gramEnd"/>
            <w:r w:rsidRPr="00482158">
              <w:rPr>
                <w:sz w:val="20"/>
              </w:rPr>
              <w:t xml:space="preserve"> company provides the drug with the discount agreed in the patient access scheme.</w:t>
            </w:r>
          </w:p>
          <w:p w:rsidR="007D2741" w:rsidRPr="00482158" w:rsidRDefault="007D2741" w:rsidP="0073695A">
            <w:pPr>
              <w:rPr>
                <w:sz w:val="20"/>
              </w:rPr>
            </w:pPr>
            <w:r w:rsidRPr="00482158">
              <w:rPr>
                <w:sz w:val="20"/>
              </w:rPr>
              <w:t xml:space="preserve">Stop </w:t>
            </w:r>
            <w:proofErr w:type="spellStart"/>
            <w:r w:rsidRPr="00482158">
              <w:rPr>
                <w:sz w:val="20"/>
              </w:rPr>
              <w:t>ixekizumab</w:t>
            </w:r>
            <w:proofErr w:type="spellEnd"/>
            <w:r w:rsidRPr="00482158">
              <w:rPr>
                <w:sz w:val="20"/>
              </w:rPr>
              <w:t xml:space="preserve"> treatment at 12 weeks if the psoriasis has not responded adequately. An adequate response is defined as:</w:t>
            </w:r>
          </w:p>
          <w:p w:rsidR="007D2741" w:rsidRPr="00482158" w:rsidRDefault="007D2741" w:rsidP="007D2741">
            <w:pPr>
              <w:pStyle w:val="ListParagraph"/>
              <w:numPr>
                <w:ilvl w:val="0"/>
                <w:numId w:val="20"/>
              </w:numPr>
              <w:suppressAutoHyphens w:val="0"/>
              <w:spacing w:before="60" w:after="60" w:line="240" w:lineRule="auto"/>
              <w:rPr>
                <w:sz w:val="20"/>
              </w:rPr>
            </w:pPr>
            <w:r w:rsidRPr="00482158">
              <w:rPr>
                <w:sz w:val="20"/>
              </w:rPr>
              <w:t>a 75% reduction in the PASI score (PASI 75) from when treatment started or</w:t>
            </w:r>
          </w:p>
          <w:p w:rsidR="007D2741" w:rsidRPr="00482158" w:rsidRDefault="007D2741" w:rsidP="007D2741">
            <w:pPr>
              <w:pStyle w:val="ListParagraph"/>
              <w:numPr>
                <w:ilvl w:val="0"/>
                <w:numId w:val="20"/>
              </w:numPr>
              <w:suppressAutoHyphens w:val="0"/>
              <w:spacing w:before="60" w:after="60" w:line="240" w:lineRule="auto"/>
              <w:rPr>
                <w:sz w:val="20"/>
              </w:rPr>
            </w:pPr>
            <w:proofErr w:type="gramStart"/>
            <w:r w:rsidRPr="00482158">
              <w:rPr>
                <w:sz w:val="20"/>
              </w:rPr>
              <w:t>a</w:t>
            </w:r>
            <w:proofErr w:type="gramEnd"/>
            <w:r w:rsidRPr="00482158">
              <w:rPr>
                <w:sz w:val="20"/>
              </w:rPr>
              <w:t xml:space="preserve"> 50% reduction in the PASI score (PASI 50) and a 5</w:t>
            </w:r>
            <w:r w:rsidRPr="00482158">
              <w:rPr>
                <w:rFonts w:ascii="MS Gothic" w:eastAsia="MS Gothic" w:hAnsi="MS Gothic" w:hint="eastAsia"/>
                <w:sz w:val="20"/>
              </w:rPr>
              <w:t>‑</w:t>
            </w:r>
            <w:r w:rsidRPr="00482158">
              <w:rPr>
                <w:sz w:val="20"/>
              </w:rPr>
              <w:t>point reduction in DLQI from when treatment started.</w:t>
            </w:r>
          </w:p>
        </w:tc>
        <w:tc>
          <w:tcPr>
            <w:tcW w:w="5007" w:type="dxa"/>
            <w:shd w:val="clear" w:color="auto" w:fill="auto"/>
          </w:tcPr>
          <w:p w:rsidR="007D2741" w:rsidRDefault="007D2741" w:rsidP="0073695A">
            <w:pPr>
              <w:rPr>
                <w:sz w:val="20"/>
              </w:rPr>
            </w:pPr>
            <w:r w:rsidRPr="006B4666">
              <w:rPr>
                <w:sz w:val="20"/>
              </w:rPr>
              <w:t>Around 17,300 people with plaque psoriasis who are eli</w:t>
            </w:r>
            <w:r>
              <w:rPr>
                <w:sz w:val="20"/>
              </w:rPr>
              <w:t>gible for biological treatments</w:t>
            </w:r>
            <w:r w:rsidRPr="006B4666">
              <w:rPr>
                <w:sz w:val="20"/>
              </w:rPr>
              <w:t xml:space="preserve"> are eligible for treatment with </w:t>
            </w:r>
            <w:proofErr w:type="spellStart"/>
            <w:r w:rsidRPr="006B4666">
              <w:rPr>
                <w:sz w:val="20"/>
              </w:rPr>
              <w:t>ixekizumab</w:t>
            </w:r>
            <w:proofErr w:type="spellEnd"/>
            <w:r w:rsidRPr="006B4666">
              <w:rPr>
                <w:sz w:val="20"/>
              </w:rPr>
              <w:t xml:space="preserve">. An estimated 1,700 people will have treatment with </w:t>
            </w:r>
            <w:proofErr w:type="spellStart"/>
            <w:r w:rsidRPr="006B4666">
              <w:rPr>
                <w:sz w:val="20"/>
              </w:rPr>
              <w:t>ixekizumab</w:t>
            </w:r>
            <w:proofErr w:type="spellEnd"/>
            <w:r w:rsidRPr="006B4666">
              <w:rPr>
                <w:sz w:val="20"/>
              </w:rPr>
              <w:t xml:space="preserve"> from year 2021/22 onwards.</w:t>
            </w:r>
          </w:p>
          <w:p w:rsidR="007D2741" w:rsidRDefault="007D2741" w:rsidP="0073695A">
            <w:pPr>
              <w:rPr>
                <w:sz w:val="20"/>
              </w:rPr>
            </w:pPr>
            <w:proofErr w:type="spellStart"/>
            <w:r w:rsidRPr="006B4666">
              <w:rPr>
                <w:sz w:val="20"/>
              </w:rPr>
              <w:t>Ixekizumab</w:t>
            </w:r>
            <w:proofErr w:type="spellEnd"/>
            <w:r w:rsidRPr="006B4666">
              <w:rPr>
                <w:sz w:val="20"/>
              </w:rPr>
              <w:t xml:space="preserve"> is an additional biological treatment option for people with plaque psoriasis. This technology is supported by a resource impact template which requires the commercial in confidence discounted price of </w:t>
            </w:r>
            <w:proofErr w:type="spellStart"/>
            <w:r w:rsidRPr="006B4666">
              <w:rPr>
                <w:sz w:val="20"/>
              </w:rPr>
              <w:t>ixekizumab</w:t>
            </w:r>
            <w:proofErr w:type="spellEnd"/>
            <w:r w:rsidRPr="006B4666">
              <w:rPr>
                <w:sz w:val="20"/>
              </w:rPr>
              <w:t xml:space="preserve"> to be input into the template in order to estimate the resource impact.</w:t>
            </w:r>
          </w:p>
          <w:p w:rsidR="007D2741" w:rsidRPr="00DE6288" w:rsidRDefault="007D2741" w:rsidP="0073695A">
            <w:pPr>
              <w:rPr>
                <w:sz w:val="20"/>
              </w:rPr>
            </w:pPr>
            <w:r w:rsidRPr="006B4666">
              <w:rPr>
                <w:sz w:val="20"/>
              </w:rPr>
              <w:t xml:space="preserve">Commissioning: </w:t>
            </w:r>
            <w:r>
              <w:rPr>
                <w:sz w:val="20"/>
              </w:rPr>
              <w:t>CCGs</w:t>
            </w:r>
            <w:r w:rsidRPr="006B4666">
              <w:rPr>
                <w:sz w:val="20"/>
              </w:rPr>
              <w:t>. Assess cost locally.</w:t>
            </w:r>
          </w:p>
        </w:tc>
      </w:tr>
      <w:tr w:rsidR="007D2741" w:rsidRPr="00DE6288" w:rsidTr="0073695A">
        <w:trPr>
          <w:cantSplit/>
        </w:trPr>
        <w:tc>
          <w:tcPr>
            <w:tcW w:w="2977" w:type="dxa"/>
            <w:shd w:val="clear" w:color="auto" w:fill="auto"/>
          </w:tcPr>
          <w:p w:rsidR="007D2741" w:rsidRDefault="00743EC6" w:rsidP="0073695A">
            <w:pPr>
              <w:rPr>
                <w:sz w:val="20"/>
              </w:rPr>
            </w:pPr>
            <w:hyperlink r:id="rId15" w:history="1">
              <w:r w:rsidR="007D2741" w:rsidRPr="00EC3535">
                <w:rPr>
                  <w:rStyle w:val="Hyperlink"/>
                  <w:sz w:val="20"/>
                </w:rPr>
                <w:t>TA443</w:t>
              </w:r>
            </w:hyperlink>
            <w:r w:rsidR="007D2741">
              <w:rPr>
                <w:sz w:val="20"/>
              </w:rPr>
              <w:t xml:space="preserve">: </w:t>
            </w:r>
            <w:proofErr w:type="spellStart"/>
            <w:r w:rsidR="007D2741">
              <w:rPr>
                <w:sz w:val="20"/>
              </w:rPr>
              <w:t>Obeticholic</w:t>
            </w:r>
            <w:proofErr w:type="spellEnd"/>
            <w:r w:rsidR="007D2741">
              <w:rPr>
                <w:sz w:val="20"/>
              </w:rPr>
              <w:t xml:space="preserve"> acid for treating primary biliary cholangitis</w:t>
            </w:r>
          </w:p>
        </w:tc>
        <w:tc>
          <w:tcPr>
            <w:tcW w:w="6237" w:type="dxa"/>
            <w:shd w:val="clear" w:color="auto" w:fill="auto"/>
          </w:tcPr>
          <w:p w:rsidR="007D2741" w:rsidRPr="00482158" w:rsidRDefault="007D2741" w:rsidP="0073695A">
            <w:pPr>
              <w:rPr>
                <w:sz w:val="20"/>
              </w:rPr>
            </w:pPr>
            <w:proofErr w:type="spellStart"/>
            <w:r w:rsidRPr="00482158">
              <w:rPr>
                <w:sz w:val="20"/>
              </w:rPr>
              <w:t>Obeticholic</w:t>
            </w:r>
            <w:proofErr w:type="spellEnd"/>
            <w:r w:rsidRPr="00482158">
              <w:rPr>
                <w:sz w:val="20"/>
              </w:rPr>
              <w:t xml:space="preserve"> acid is recommended, within its marketing authorisation, as an option for treating primary biliary cholangitis in combination with </w:t>
            </w:r>
            <w:proofErr w:type="spellStart"/>
            <w:r w:rsidRPr="00482158">
              <w:rPr>
                <w:sz w:val="20"/>
              </w:rPr>
              <w:t>ursodeoxycholic</w:t>
            </w:r>
            <w:proofErr w:type="spellEnd"/>
            <w:r w:rsidRPr="00482158">
              <w:rPr>
                <w:sz w:val="20"/>
              </w:rPr>
              <w:t xml:space="preserve"> acid for people whose disease has responded inadequately to </w:t>
            </w:r>
            <w:proofErr w:type="spellStart"/>
            <w:r w:rsidRPr="00482158">
              <w:rPr>
                <w:sz w:val="20"/>
              </w:rPr>
              <w:t>ursodeoxycholic</w:t>
            </w:r>
            <w:proofErr w:type="spellEnd"/>
            <w:r w:rsidRPr="00482158">
              <w:rPr>
                <w:sz w:val="20"/>
              </w:rPr>
              <w:t xml:space="preserve"> acid or as monotherapy for people who cannot tolerate </w:t>
            </w:r>
            <w:proofErr w:type="spellStart"/>
            <w:r w:rsidRPr="00482158">
              <w:rPr>
                <w:sz w:val="20"/>
              </w:rPr>
              <w:t>ursodeoxycholic</w:t>
            </w:r>
            <w:proofErr w:type="spellEnd"/>
            <w:r w:rsidRPr="00482158">
              <w:rPr>
                <w:sz w:val="20"/>
              </w:rPr>
              <w:t xml:space="preserve"> acid. </w:t>
            </w:r>
            <w:proofErr w:type="spellStart"/>
            <w:r w:rsidRPr="00482158">
              <w:rPr>
                <w:sz w:val="20"/>
              </w:rPr>
              <w:t>Obeticholic</w:t>
            </w:r>
            <w:proofErr w:type="spellEnd"/>
            <w:r w:rsidRPr="00482158">
              <w:rPr>
                <w:sz w:val="20"/>
              </w:rPr>
              <w:t xml:space="preserve"> acid is recommended only if the company provides it with the discount agreed in the patient access scheme.</w:t>
            </w:r>
          </w:p>
          <w:p w:rsidR="007D2741" w:rsidRPr="00DE6288" w:rsidRDefault="007D2741" w:rsidP="0073695A">
            <w:pPr>
              <w:rPr>
                <w:sz w:val="20"/>
              </w:rPr>
            </w:pPr>
            <w:r w:rsidRPr="00482158">
              <w:rPr>
                <w:sz w:val="20"/>
              </w:rPr>
              <w:t xml:space="preserve">Assess the response to </w:t>
            </w:r>
            <w:proofErr w:type="spellStart"/>
            <w:r w:rsidRPr="00482158">
              <w:rPr>
                <w:sz w:val="20"/>
              </w:rPr>
              <w:t>obeticholic</w:t>
            </w:r>
            <w:proofErr w:type="spellEnd"/>
            <w:r w:rsidRPr="00482158">
              <w:rPr>
                <w:sz w:val="20"/>
              </w:rPr>
              <w:t xml:space="preserve"> acid after 12 months. Only continue if there is evidence of clinical benefit.</w:t>
            </w:r>
          </w:p>
        </w:tc>
        <w:tc>
          <w:tcPr>
            <w:tcW w:w="5007" w:type="dxa"/>
            <w:shd w:val="clear" w:color="auto" w:fill="auto"/>
          </w:tcPr>
          <w:p w:rsidR="007D2741" w:rsidRDefault="007D2741" w:rsidP="0073695A">
            <w:pPr>
              <w:rPr>
                <w:sz w:val="20"/>
              </w:rPr>
            </w:pPr>
            <w:r w:rsidRPr="006B4666">
              <w:rPr>
                <w:sz w:val="20"/>
              </w:rPr>
              <w:t xml:space="preserve">It is estimated that around 2,700 people with primary biliary cholangitis will be eligible for treatment with </w:t>
            </w:r>
            <w:proofErr w:type="spellStart"/>
            <w:r w:rsidRPr="006B4666">
              <w:rPr>
                <w:sz w:val="20"/>
              </w:rPr>
              <w:t>obeticholic</w:t>
            </w:r>
            <w:proofErr w:type="spellEnd"/>
            <w:r w:rsidRPr="006B4666">
              <w:rPr>
                <w:sz w:val="20"/>
              </w:rPr>
              <w:t xml:space="preserve"> acid each year. It is estimated that around 1,600 people will have </w:t>
            </w:r>
            <w:proofErr w:type="spellStart"/>
            <w:r w:rsidRPr="006B4666">
              <w:rPr>
                <w:sz w:val="20"/>
              </w:rPr>
              <w:t>obeticholic</w:t>
            </w:r>
            <w:proofErr w:type="spellEnd"/>
            <w:r w:rsidRPr="006B4666">
              <w:rPr>
                <w:sz w:val="20"/>
              </w:rPr>
              <w:t xml:space="preserve"> acid from year 5 onwards.</w:t>
            </w:r>
          </w:p>
          <w:p w:rsidR="007D2741" w:rsidRDefault="007D2741" w:rsidP="0073695A">
            <w:pPr>
              <w:rPr>
                <w:sz w:val="20"/>
              </w:rPr>
            </w:pPr>
            <w:r w:rsidRPr="006B4666">
              <w:rPr>
                <w:sz w:val="20"/>
              </w:rPr>
              <w:t xml:space="preserve">The company has agreed a patient access scheme with the Department of Health. This scheme provides a simple discount to the list price of </w:t>
            </w:r>
            <w:proofErr w:type="spellStart"/>
            <w:r w:rsidRPr="006B4666">
              <w:rPr>
                <w:sz w:val="20"/>
              </w:rPr>
              <w:t>obeticholic</w:t>
            </w:r>
            <w:proofErr w:type="spellEnd"/>
            <w:r w:rsidRPr="006B4666">
              <w:rPr>
                <w:sz w:val="20"/>
              </w:rPr>
              <w:t xml:space="preserve"> acid, with the discount applied at the point of purchase or invoice. The level of the discount is commercial in confidence.</w:t>
            </w:r>
          </w:p>
          <w:p w:rsidR="007D2741" w:rsidRPr="00DE6288" w:rsidRDefault="007D2741" w:rsidP="0073695A">
            <w:pPr>
              <w:rPr>
                <w:sz w:val="20"/>
              </w:rPr>
            </w:pPr>
            <w:r>
              <w:rPr>
                <w:sz w:val="20"/>
              </w:rPr>
              <w:t xml:space="preserve">Commissioning: NHS England. Assess cost locally. </w:t>
            </w:r>
          </w:p>
        </w:tc>
      </w:tr>
    </w:tbl>
    <w:p w:rsidR="007D2741" w:rsidRDefault="007D2741" w:rsidP="007D2741">
      <w:pPr>
        <w:spacing w:before="240" w:after="120"/>
        <w:ind w:left="142"/>
        <w:outlineLvl w:val="0"/>
        <w:rPr>
          <w:b/>
          <w:i/>
        </w:rPr>
      </w:pPr>
    </w:p>
    <w:p w:rsidR="007D2741" w:rsidRDefault="007D2741" w:rsidP="007D2741">
      <w:pPr>
        <w:spacing w:before="240" w:after="120"/>
        <w:ind w:left="142"/>
        <w:outlineLvl w:val="0"/>
        <w:rPr>
          <w:b/>
          <w:i/>
        </w:rPr>
      </w:pPr>
    </w:p>
    <w:p w:rsidR="007D2741" w:rsidRDefault="007D2741" w:rsidP="007D2741">
      <w:pPr>
        <w:spacing w:before="240" w:after="120"/>
        <w:ind w:left="142"/>
        <w:outlineLvl w:val="0"/>
        <w:rPr>
          <w:b/>
          <w:i/>
        </w:rPr>
      </w:pPr>
    </w:p>
    <w:p w:rsidR="007D2741" w:rsidRDefault="007D2741" w:rsidP="007D2741">
      <w:pPr>
        <w:spacing w:before="240" w:after="120"/>
        <w:ind w:left="142"/>
        <w:outlineLvl w:val="0"/>
        <w:rPr>
          <w:b/>
          <w:i/>
        </w:rPr>
      </w:pPr>
    </w:p>
    <w:p w:rsidR="007D2741" w:rsidRDefault="007D2741" w:rsidP="007D2741">
      <w:pPr>
        <w:spacing w:before="240" w:after="120"/>
        <w:ind w:left="142"/>
        <w:outlineLvl w:val="0"/>
        <w:rPr>
          <w:b/>
          <w:i/>
        </w:rPr>
      </w:pPr>
    </w:p>
    <w:p w:rsidR="007D2741" w:rsidRDefault="007D2741" w:rsidP="007D2741">
      <w:pPr>
        <w:spacing w:before="240" w:after="120"/>
        <w:ind w:left="142"/>
        <w:outlineLvl w:val="0"/>
        <w:rPr>
          <w:b/>
          <w:i/>
        </w:rPr>
      </w:pPr>
    </w:p>
    <w:p w:rsidR="007D2741" w:rsidRPr="00564538" w:rsidRDefault="007D2741" w:rsidP="007D2741">
      <w:pPr>
        <w:spacing w:before="240" w:after="120"/>
        <w:ind w:left="142"/>
        <w:outlineLvl w:val="0"/>
        <w:rPr>
          <w:b/>
          <w:i/>
        </w:rPr>
      </w:pPr>
      <w:r>
        <w:rPr>
          <w:b/>
          <w:i/>
        </w:rPr>
        <w:t>NICE guidance</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gridCol w:w="4961"/>
      </w:tblGrid>
      <w:tr w:rsidR="007D2741" w:rsidRPr="007E58ED" w:rsidTr="0073695A">
        <w:trPr>
          <w:cantSplit/>
          <w:tblHeader/>
        </w:trPr>
        <w:tc>
          <w:tcPr>
            <w:tcW w:w="2977" w:type="dxa"/>
            <w:shd w:val="clear" w:color="auto" w:fill="000080"/>
          </w:tcPr>
          <w:p w:rsidR="007D2741" w:rsidRPr="00EA36B2" w:rsidRDefault="007D2741" w:rsidP="0073695A">
            <w:pPr>
              <w:widowControl w:val="0"/>
              <w:rPr>
                <w:b/>
                <w:color w:val="FFFFFF"/>
                <w:sz w:val="20"/>
              </w:rPr>
            </w:pPr>
            <w:r w:rsidRPr="00EA36B2">
              <w:rPr>
                <w:b/>
                <w:color w:val="FFFFFF"/>
                <w:sz w:val="20"/>
              </w:rPr>
              <w:t>Title</w:t>
            </w:r>
          </w:p>
        </w:tc>
        <w:tc>
          <w:tcPr>
            <w:tcW w:w="6237" w:type="dxa"/>
            <w:shd w:val="clear" w:color="auto" w:fill="000080"/>
          </w:tcPr>
          <w:p w:rsidR="007D2741" w:rsidRPr="00EA36B2" w:rsidRDefault="007D2741" w:rsidP="0073695A">
            <w:pPr>
              <w:widowControl w:val="0"/>
              <w:rPr>
                <w:b/>
                <w:color w:val="FFFFFF"/>
                <w:sz w:val="16"/>
                <w:szCs w:val="16"/>
              </w:rPr>
            </w:pPr>
            <w:r w:rsidRPr="00EA36B2">
              <w:rPr>
                <w:b/>
                <w:color w:val="FFFFFF"/>
                <w:sz w:val="20"/>
                <w:szCs w:val="16"/>
              </w:rPr>
              <w:t>Summary</w:t>
            </w:r>
          </w:p>
        </w:tc>
        <w:tc>
          <w:tcPr>
            <w:tcW w:w="4961" w:type="dxa"/>
            <w:shd w:val="clear" w:color="auto" w:fill="000080"/>
          </w:tcPr>
          <w:p w:rsidR="007D2741" w:rsidRPr="00EA36B2" w:rsidRDefault="007D2741" w:rsidP="0073695A">
            <w:pPr>
              <w:widowControl w:val="0"/>
              <w:rPr>
                <w:b/>
                <w:color w:val="FFFFFF"/>
                <w:sz w:val="20"/>
              </w:rPr>
            </w:pPr>
            <w:r w:rsidRPr="00EA36B2">
              <w:rPr>
                <w:b/>
                <w:color w:val="FFFFFF"/>
                <w:sz w:val="20"/>
              </w:rPr>
              <w:t>Potential cost impact</w:t>
            </w:r>
          </w:p>
        </w:tc>
      </w:tr>
      <w:tr w:rsidR="007D2741" w:rsidRPr="001A2141" w:rsidTr="0073695A">
        <w:trPr>
          <w:cantSplit/>
        </w:trPr>
        <w:tc>
          <w:tcPr>
            <w:tcW w:w="2977" w:type="dxa"/>
            <w:shd w:val="clear" w:color="auto" w:fill="auto"/>
          </w:tcPr>
          <w:p w:rsidR="007D2741" w:rsidRDefault="00743EC6" w:rsidP="0073695A">
            <w:pPr>
              <w:rPr>
                <w:sz w:val="20"/>
              </w:rPr>
            </w:pPr>
            <w:hyperlink r:id="rId16" w:history="1">
              <w:r w:rsidR="007D2741" w:rsidRPr="00B91253">
                <w:rPr>
                  <w:rStyle w:val="Hyperlink"/>
                  <w:sz w:val="20"/>
                </w:rPr>
                <w:t>NG68</w:t>
              </w:r>
            </w:hyperlink>
            <w:r w:rsidR="007D2741">
              <w:rPr>
                <w:sz w:val="20"/>
              </w:rPr>
              <w:t>: Sexually transmitted infections: condom distribution schemes</w:t>
            </w:r>
          </w:p>
          <w:p w:rsidR="00E46C18" w:rsidRDefault="00E46C18" w:rsidP="0073695A">
            <w:pPr>
              <w:rPr>
                <w:sz w:val="20"/>
              </w:rPr>
            </w:pPr>
          </w:p>
          <w:p w:rsidR="00E46C18" w:rsidRPr="00E46C18" w:rsidRDefault="00E46C18" w:rsidP="0073695A">
            <w:pPr>
              <w:rPr>
                <w:b/>
                <w:sz w:val="20"/>
                <w:u w:val="single"/>
              </w:rPr>
            </w:pPr>
            <w:r w:rsidRPr="00E46C18">
              <w:rPr>
                <w:b/>
                <w:sz w:val="20"/>
                <w:u w:val="single"/>
              </w:rPr>
              <w:t>Noted by APC</w:t>
            </w:r>
          </w:p>
        </w:tc>
        <w:tc>
          <w:tcPr>
            <w:tcW w:w="6237" w:type="dxa"/>
            <w:shd w:val="clear" w:color="auto" w:fill="auto"/>
          </w:tcPr>
          <w:p w:rsidR="007D2741" w:rsidRPr="001A2141" w:rsidRDefault="007D2741" w:rsidP="0073695A">
            <w:pPr>
              <w:rPr>
                <w:sz w:val="20"/>
              </w:rPr>
            </w:pPr>
            <w:r w:rsidRPr="00B91253">
              <w:rPr>
                <w:sz w:val="20"/>
              </w:rPr>
              <w:t>This guideline covers condom distribution schemes. The aim is to reduce the risk of sexually transmitted infections (STIs). In addition, these schemes can provide a good introduction to broader sexual and reproductive health services, especially for younger people, and help prevent unplanned pregnancies.</w:t>
            </w:r>
          </w:p>
        </w:tc>
        <w:tc>
          <w:tcPr>
            <w:tcW w:w="4961" w:type="dxa"/>
            <w:shd w:val="clear" w:color="auto" w:fill="auto"/>
          </w:tcPr>
          <w:p w:rsidR="007D2741" w:rsidRDefault="007D2741" w:rsidP="0073695A">
            <w:pPr>
              <w:rPr>
                <w:sz w:val="20"/>
              </w:rPr>
            </w:pPr>
            <w:r>
              <w:rPr>
                <w:sz w:val="20"/>
              </w:rPr>
              <w:t>It is anticipated</w:t>
            </w:r>
            <w:r w:rsidRPr="00E538BC">
              <w:rPr>
                <w:sz w:val="20"/>
              </w:rPr>
              <w:t xml:space="preserve"> that this guideline will be cost saving where the recommendations are not current practice. Organisations are encouraged to evaluate their own practices against the recommendations in the NICE guideline and assess costs and savings locally using the local resource impact template.</w:t>
            </w:r>
          </w:p>
          <w:p w:rsidR="007D2741" w:rsidRDefault="007D2741" w:rsidP="0073695A">
            <w:pPr>
              <w:rPr>
                <w:sz w:val="20"/>
              </w:rPr>
            </w:pPr>
            <w:r w:rsidRPr="00E538BC">
              <w:rPr>
                <w:sz w:val="20"/>
              </w:rPr>
              <w:t>The guideline will be supported by a local resource impact template to allow organisations to assess costs at a local level</w:t>
            </w:r>
            <w:r>
              <w:rPr>
                <w:sz w:val="20"/>
              </w:rPr>
              <w:t xml:space="preserve">. </w:t>
            </w:r>
          </w:p>
          <w:p w:rsidR="007D2741" w:rsidRPr="00E538BC" w:rsidRDefault="007D2741" w:rsidP="0073695A">
            <w:pPr>
              <w:rPr>
                <w:sz w:val="20"/>
              </w:rPr>
            </w:pPr>
            <w:r>
              <w:rPr>
                <w:sz w:val="20"/>
              </w:rPr>
              <w:t xml:space="preserve">Commissioning: NHS England and local authorities. Assess costs locally. </w:t>
            </w:r>
          </w:p>
        </w:tc>
      </w:tr>
      <w:tr w:rsidR="007D2741" w:rsidRPr="001A2141" w:rsidTr="0073695A">
        <w:trPr>
          <w:cantSplit/>
        </w:trPr>
        <w:tc>
          <w:tcPr>
            <w:tcW w:w="2977" w:type="dxa"/>
            <w:shd w:val="clear" w:color="auto" w:fill="auto"/>
          </w:tcPr>
          <w:p w:rsidR="007D2741" w:rsidRDefault="00743EC6" w:rsidP="0073695A">
            <w:pPr>
              <w:rPr>
                <w:sz w:val="20"/>
              </w:rPr>
            </w:pPr>
            <w:hyperlink r:id="rId17" w:history="1">
              <w:r w:rsidR="007D2741" w:rsidRPr="00810103">
                <w:rPr>
                  <w:rStyle w:val="Hyperlink"/>
                  <w:sz w:val="20"/>
                </w:rPr>
                <w:t>CG61</w:t>
              </w:r>
            </w:hyperlink>
            <w:r w:rsidR="007D2741">
              <w:rPr>
                <w:sz w:val="20"/>
              </w:rPr>
              <w:t>: Irritable bowel syndrome in adults: diagnosis and management (update)</w:t>
            </w:r>
          </w:p>
          <w:p w:rsidR="00E46C18" w:rsidRDefault="00E46C18" w:rsidP="0073695A">
            <w:pPr>
              <w:rPr>
                <w:sz w:val="20"/>
              </w:rPr>
            </w:pPr>
          </w:p>
          <w:p w:rsidR="00E46C18" w:rsidRDefault="00E46C18" w:rsidP="0073695A">
            <w:pPr>
              <w:rPr>
                <w:b/>
                <w:sz w:val="20"/>
                <w:u w:val="single"/>
              </w:rPr>
            </w:pPr>
            <w:r w:rsidRPr="00E46C18">
              <w:rPr>
                <w:b/>
                <w:sz w:val="20"/>
                <w:u w:val="single"/>
              </w:rPr>
              <w:t>Noted by APC</w:t>
            </w:r>
          </w:p>
          <w:p w:rsidR="00E46C18" w:rsidRPr="001A2141" w:rsidRDefault="00E46C18" w:rsidP="0073695A">
            <w:pPr>
              <w:rPr>
                <w:sz w:val="20"/>
              </w:rPr>
            </w:pPr>
          </w:p>
        </w:tc>
        <w:tc>
          <w:tcPr>
            <w:tcW w:w="6237" w:type="dxa"/>
            <w:shd w:val="clear" w:color="auto" w:fill="auto"/>
          </w:tcPr>
          <w:p w:rsidR="007D2741" w:rsidRPr="001A2141" w:rsidRDefault="007D2741" w:rsidP="0073695A">
            <w:pPr>
              <w:rPr>
                <w:sz w:val="20"/>
              </w:rPr>
            </w:pPr>
            <w:r>
              <w:rPr>
                <w:sz w:val="20"/>
              </w:rPr>
              <w:t xml:space="preserve">Recommendation 1.1.1.2 updated in line with recent guidance on recognition and referral for suspected cancer. </w:t>
            </w:r>
          </w:p>
        </w:tc>
        <w:tc>
          <w:tcPr>
            <w:tcW w:w="4961" w:type="dxa"/>
            <w:shd w:val="clear" w:color="auto" w:fill="auto"/>
          </w:tcPr>
          <w:p w:rsidR="007D2741" w:rsidRPr="001A2141" w:rsidRDefault="007D2741" w:rsidP="0073695A">
            <w:pPr>
              <w:rPr>
                <w:sz w:val="20"/>
              </w:rPr>
            </w:pPr>
            <w:r>
              <w:rPr>
                <w:sz w:val="20"/>
              </w:rPr>
              <w:t>n/a</w:t>
            </w:r>
          </w:p>
        </w:tc>
      </w:tr>
      <w:tr w:rsidR="007D2741" w:rsidRPr="001A2141" w:rsidTr="0073695A">
        <w:trPr>
          <w:cantSplit/>
        </w:trPr>
        <w:tc>
          <w:tcPr>
            <w:tcW w:w="2977" w:type="dxa"/>
            <w:shd w:val="clear" w:color="auto" w:fill="auto"/>
          </w:tcPr>
          <w:p w:rsidR="007D2741" w:rsidRDefault="00743EC6" w:rsidP="0073695A">
            <w:pPr>
              <w:rPr>
                <w:sz w:val="20"/>
              </w:rPr>
            </w:pPr>
            <w:hyperlink r:id="rId18" w:history="1">
              <w:r w:rsidR="007D2741" w:rsidRPr="00810103">
                <w:rPr>
                  <w:rStyle w:val="Hyperlink"/>
                  <w:sz w:val="20"/>
                </w:rPr>
                <w:t>CG100</w:t>
              </w:r>
            </w:hyperlink>
            <w:r w:rsidR="007D2741">
              <w:rPr>
                <w:sz w:val="20"/>
              </w:rPr>
              <w:t>: Alcohol-use disorders: diagnosis and management of physical complications (update)</w:t>
            </w:r>
          </w:p>
          <w:p w:rsidR="00E46C18" w:rsidRDefault="00E46C18" w:rsidP="0073695A">
            <w:pPr>
              <w:rPr>
                <w:sz w:val="20"/>
              </w:rPr>
            </w:pPr>
          </w:p>
          <w:p w:rsidR="00E46C18" w:rsidRPr="001A2141" w:rsidRDefault="00E46C18" w:rsidP="0073695A">
            <w:pPr>
              <w:rPr>
                <w:sz w:val="20"/>
              </w:rPr>
            </w:pPr>
            <w:r w:rsidRPr="00E46C18">
              <w:rPr>
                <w:b/>
                <w:sz w:val="20"/>
                <w:u w:val="single"/>
              </w:rPr>
              <w:t>Noted by APC</w:t>
            </w:r>
          </w:p>
        </w:tc>
        <w:tc>
          <w:tcPr>
            <w:tcW w:w="6237" w:type="dxa"/>
            <w:shd w:val="clear" w:color="auto" w:fill="auto"/>
          </w:tcPr>
          <w:p w:rsidR="007D2741" w:rsidRPr="001A2141" w:rsidRDefault="007D2741" w:rsidP="0073695A">
            <w:pPr>
              <w:rPr>
                <w:sz w:val="20"/>
              </w:rPr>
            </w:pPr>
            <w:r>
              <w:rPr>
                <w:sz w:val="20"/>
              </w:rPr>
              <w:t xml:space="preserve">Recommendation 1.3.3.1 on use of corticosteroid treatment for people with severe alcohol-related hepatitis updated. </w:t>
            </w:r>
          </w:p>
        </w:tc>
        <w:tc>
          <w:tcPr>
            <w:tcW w:w="4961" w:type="dxa"/>
            <w:shd w:val="clear" w:color="auto" w:fill="auto"/>
          </w:tcPr>
          <w:p w:rsidR="007D2741" w:rsidRDefault="007D2741" w:rsidP="0073695A">
            <w:pPr>
              <w:rPr>
                <w:sz w:val="20"/>
              </w:rPr>
            </w:pPr>
            <w:r>
              <w:rPr>
                <w:sz w:val="20"/>
              </w:rPr>
              <w:t xml:space="preserve">No significant cost impact anticipated. </w:t>
            </w:r>
          </w:p>
          <w:p w:rsidR="007D2741" w:rsidRPr="001A2141" w:rsidRDefault="007D2741" w:rsidP="0073695A">
            <w:pPr>
              <w:rPr>
                <w:sz w:val="20"/>
              </w:rPr>
            </w:pPr>
            <w:r>
              <w:rPr>
                <w:sz w:val="20"/>
              </w:rPr>
              <w:t xml:space="preserve">Commissioning: CCGs. </w:t>
            </w:r>
          </w:p>
        </w:tc>
      </w:tr>
    </w:tbl>
    <w:p w:rsidR="009628F4" w:rsidRPr="009628F4" w:rsidRDefault="009628F4" w:rsidP="009628F4">
      <w:pPr>
        <w:pStyle w:val="NoSpacing"/>
        <w:jc w:val="right"/>
        <w:rPr>
          <w:rFonts w:ascii="Arial" w:hAnsi="Arial" w:cs="Arial"/>
          <w:b/>
        </w:rPr>
      </w:pPr>
    </w:p>
    <w:sectPr w:rsidR="009628F4" w:rsidRPr="009628F4" w:rsidSect="007D2741">
      <w:headerReference w:type="even" r:id="rId19"/>
      <w:headerReference w:type="default" r:id="rId20"/>
      <w:headerReference w:type="first" r:id="rId21"/>
      <w:footerReference w:type="first" r:id="rId22"/>
      <w:pgSz w:w="16838" w:h="11906" w:orient="landscape"/>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37" w:rsidRDefault="00F50037" w:rsidP="00263663">
      <w:pPr>
        <w:spacing w:line="240" w:lineRule="auto"/>
      </w:pPr>
      <w:r>
        <w:separator/>
      </w:r>
    </w:p>
  </w:endnote>
  <w:endnote w:type="continuationSeparator" w:id="0">
    <w:p w:rsidR="00F50037" w:rsidRDefault="00F50037"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61194"/>
      <w:docPartObj>
        <w:docPartGallery w:val="Page Numbers (Bottom of Page)"/>
        <w:docPartUnique/>
      </w:docPartObj>
    </w:sdtPr>
    <w:sdtEndPr>
      <w:rPr>
        <w:noProof/>
      </w:rPr>
    </w:sdtEndPr>
    <w:sdtContent>
      <w:p w:rsidR="00E94FB7" w:rsidRDefault="00E94FB7">
        <w:pPr>
          <w:pStyle w:val="Footer"/>
          <w:jc w:val="right"/>
        </w:pPr>
        <w:r>
          <w:fldChar w:fldCharType="begin"/>
        </w:r>
        <w:r>
          <w:instrText xml:space="preserve"> PAGE   \* MERGEFORMAT </w:instrText>
        </w:r>
        <w:r>
          <w:fldChar w:fldCharType="separate"/>
        </w:r>
        <w:r w:rsidR="00743EC6">
          <w:rPr>
            <w:noProof/>
          </w:rPr>
          <w:t>7</w:t>
        </w:r>
        <w:r>
          <w:rPr>
            <w:noProof/>
          </w:rPr>
          <w:fldChar w:fldCharType="end"/>
        </w:r>
      </w:p>
    </w:sdtContent>
  </w:sdt>
  <w:p w:rsidR="00E94FB7" w:rsidRDefault="00E94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1" w:rsidRPr="009A22CD" w:rsidRDefault="007D2741" w:rsidP="000504F4">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7D2741" w:rsidRPr="00952AF1" w:rsidRDefault="007D2741" w:rsidP="00FA526B">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7D2741" w:rsidRPr="008E7130" w:rsidRDefault="007D2741" w:rsidP="00210B5D">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7D2741" w:rsidRDefault="007D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37" w:rsidRDefault="00F50037" w:rsidP="00263663">
      <w:pPr>
        <w:spacing w:line="240" w:lineRule="auto"/>
      </w:pPr>
      <w:r>
        <w:separator/>
      </w:r>
    </w:p>
  </w:footnote>
  <w:footnote w:type="continuationSeparator" w:id="0">
    <w:p w:rsidR="00F50037" w:rsidRDefault="00F50037"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1" w:rsidRDefault="007D2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1" w:rsidRPr="008E7130" w:rsidRDefault="007D2741" w:rsidP="0026401D">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1" w:rsidRPr="008E7130" w:rsidRDefault="007D2741" w:rsidP="004516FB">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CE6761"/>
    <w:multiLevelType w:val="hybridMultilevel"/>
    <w:tmpl w:val="96BC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452F76"/>
    <w:multiLevelType w:val="hybridMultilevel"/>
    <w:tmpl w:val="B456B89A"/>
    <w:lvl w:ilvl="0" w:tplc="97BCA06C">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43C5A98"/>
    <w:multiLevelType w:val="hybridMultilevel"/>
    <w:tmpl w:val="AB1E29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01B1D00"/>
    <w:multiLevelType w:val="hybridMultilevel"/>
    <w:tmpl w:val="91027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0"/>
  </w:num>
  <w:num w:numId="2">
    <w:abstractNumId w:val="19"/>
  </w:num>
  <w:num w:numId="3">
    <w:abstractNumId w:val="20"/>
  </w:num>
  <w:num w:numId="4">
    <w:abstractNumId w:val="6"/>
  </w:num>
  <w:num w:numId="5">
    <w:abstractNumId w:val="0"/>
  </w:num>
  <w:num w:numId="6">
    <w:abstractNumId w:val="18"/>
  </w:num>
  <w:num w:numId="7">
    <w:abstractNumId w:val="14"/>
  </w:num>
  <w:num w:numId="8">
    <w:abstractNumId w:val="1"/>
  </w:num>
  <w:num w:numId="9">
    <w:abstractNumId w:val="3"/>
  </w:num>
  <w:num w:numId="10">
    <w:abstractNumId w:val="8"/>
  </w:num>
  <w:num w:numId="11">
    <w:abstractNumId w:val="12"/>
  </w:num>
  <w:num w:numId="12">
    <w:abstractNumId w:val="7"/>
  </w:num>
  <w:num w:numId="13">
    <w:abstractNumId w:val="4"/>
  </w:num>
  <w:num w:numId="14">
    <w:abstractNumId w:val="9"/>
  </w:num>
  <w:num w:numId="15">
    <w:abstractNumId w:val="15"/>
  </w:num>
  <w:num w:numId="16">
    <w:abstractNumId w:val="17"/>
  </w:num>
  <w:num w:numId="17">
    <w:abstractNumId w:val="2"/>
  </w:num>
  <w:num w:numId="18">
    <w:abstractNumId w:val="16"/>
  </w:num>
  <w:num w:numId="19">
    <w:abstractNumId w:val="5"/>
  </w:num>
  <w:num w:numId="20">
    <w:abstractNumId w:val="11"/>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A2A"/>
    <w:rsid w:val="0000484E"/>
    <w:rsid w:val="000052C0"/>
    <w:rsid w:val="00007C4A"/>
    <w:rsid w:val="00012CD1"/>
    <w:rsid w:val="00013AA3"/>
    <w:rsid w:val="0001455D"/>
    <w:rsid w:val="00014BAB"/>
    <w:rsid w:val="0001602B"/>
    <w:rsid w:val="0001791E"/>
    <w:rsid w:val="00020012"/>
    <w:rsid w:val="00023440"/>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5FBC"/>
    <w:rsid w:val="00067194"/>
    <w:rsid w:val="0007105A"/>
    <w:rsid w:val="000725E5"/>
    <w:rsid w:val="00072FB0"/>
    <w:rsid w:val="00083856"/>
    <w:rsid w:val="00086752"/>
    <w:rsid w:val="0009078C"/>
    <w:rsid w:val="00091C82"/>
    <w:rsid w:val="000976E8"/>
    <w:rsid w:val="000A13AE"/>
    <w:rsid w:val="000A1635"/>
    <w:rsid w:val="000A6BA5"/>
    <w:rsid w:val="000A75C0"/>
    <w:rsid w:val="000B1B85"/>
    <w:rsid w:val="000B1BD6"/>
    <w:rsid w:val="000B2ED4"/>
    <w:rsid w:val="000B487A"/>
    <w:rsid w:val="000B5885"/>
    <w:rsid w:val="000B5DC7"/>
    <w:rsid w:val="000C0593"/>
    <w:rsid w:val="000C1C74"/>
    <w:rsid w:val="000C4C7D"/>
    <w:rsid w:val="000C5007"/>
    <w:rsid w:val="000C710B"/>
    <w:rsid w:val="000D30B6"/>
    <w:rsid w:val="000D4372"/>
    <w:rsid w:val="000D4ABC"/>
    <w:rsid w:val="000D5502"/>
    <w:rsid w:val="000E09F4"/>
    <w:rsid w:val="000F2869"/>
    <w:rsid w:val="000F2B47"/>
    <w:rsid w:val="000F53AD"/>
    <w:rsid w:val="000F566B"/>
    <w:rsid w:val="000F6D13"/>
    <w:rsid w:val="000F6EA2"/>
    <w:rsid w:val="000F7B04"/>
    <w:rsid w:val="00100F9F"/>
    <w:rsid w:val="00103DE7"/>
    <w:rsid w:val="00104321"/>
    <w:rsid w:val="00104AF7"/>
    <w:rsid w:val="00106469"/>
    <w:rsid w:val="001072A6"/>
    <w:rsid w:val="00107B43"/>
    <w:rsid w:val="00107B7C"/>
    <w:rsid w:val="00110E25"/>
    <w:rsid w:val="0011122F"/>
    <w:rsid w:val="00112742"/>
    <w:rsid w:val="00113867"/>
    <w:rsid w:val="00113955"/>
    <w:rsid w:val="001139F0"/>
    <w:rsid w:val="00120908"/>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5B40"/>
    <w:rsid w:val="00156E4F"/>
    <w:rsid w:val="0015738F"/>
    <w:rsid w:val="001573A6"/>
    <w:rsid w:val="0016096E"/>
    <w:rsid w:val="00161CC2"/>
    <w:rsid w:val="00165E7D"/>
    <w:rsid w:val="001718C0"/>
    <w:rsid w:val="00171AA7"/>
    <w:rsid w:val="00171EC7"/>
    <w:rsid w:val="00173164"/>
    <w:rsid w:val="00177190"/>
    <w:rsid w:val="00177420"/>
    <w:rsid w:val="00177757"/>
    <w:rsid w:val="00182BA5"/>
    <w:rsid w:val="00183D28"/>
    <w:rsid w:val="00184775"/>
    <w:rsid w:val="00185032"/>
    <w:rsid w:val="00186F64"/>
    <w:rsid w:val="00190CC0"/>
    <w:rsid w:val="00191791"/>
    <w:rsid w:val="001943F3"/>
    <w:rsid w:val="001971C5"/>
    <w:rsid w:val="001A0EBE"/>
    <w:rsid w:val="001A1760"/>
    <w:rsid w:val="001A22E5"/>
    <w:rsid w:val="001A2F55"/>
    <w:rsid w:val="001A2F99"/>
    <w:rsid w:val="001A4024"/>
    <w:rsid w:val="001B03C0"/>
    <w:rsid w:val="001B0874"/>
    <w:rsid w:val="001B4633"/>
    <w:rsid w:val="001B4F70"/>
    <w:rsid w:val="001B735F"/>
    <w:rsid w:val="001B7BD4"/>
    <w:rsid w:val="001C16F6"/>
    <w:rsid w:val="001C2BD5"/>
    <w:rsid w:val="001C2E28"/>
    <w:rsid w:val="001C3728"/>
    <w:rsid w:val="001C60BD"/>
    <w:rsid w:val="001C6519"/>
    <w:rsid w:val="001C77FA"/>
    <w:rsid w:val="001D145F"/>
    <w:rsid w:val="001D1ACD"/>
    <w:rsid w:val="001D1AFB"/>
    <w:rsid w:val="001D6402"/>
    <w:rsid w:val="001D75A3"/>
    <w:rsid w:val="001E2F54"/>
    <w:rsid w:val="001E2FCD"/>
    <w:rsid w:val="001E5E90"/>
    <w:rsid w:val="001F3CAA"/>
    <w:rsid w:val="001F4D18"/>
    <w:rsid w:val="001F721B"/>
    <w:rsid w:val="0020475D"/>
    <w:rsid w:val="00204E18"/>
    <w:rsid w:val="00206499"/>
    <w:rsid w:val="002072B1"/>
    <w:rsid w:val="002114C8"/>
    <w:rsid w:val="002135F8"/>
    <w:rsid w:val="0021401C"/>
    <w:rsid w:val="00214F4A"/>
    <w:rsid w:val="00216538"/>
    <w:rsid w:val="0021766A"/>
    <w:rsid w:val="00222711"/>
    <w:rsid w:val="00224AB1"/>
    <w:rsid w:val="00225EF9"/>
    <w:rsid w:val="002278D9"/>
    <w:rsid w:val="00232537"/>
    <w:rsid w:val="00233B92"/>
    <w:rsid w:val="002343E0"/>
    <w:rsid w:val="0023630B"/>
    <w:rsid w:val="0023769B"/>
    <w:rsid w:val="00240B14"/>
    <w:rsid w:val="00242534"/>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1FD"/>
    <w:rsid w:val="00286F17"/>
    <w:rsid w:val="002904FB"/>
    <w:rsid w:val="00290F2C"/>
    <w:rsid w:val="00291A2C"/>
    <w:rsid w:val="00293099"/>
    <w:rsid w:val="002945AC"/>
    <w:rsid w:val="00295394"/>
    <w:rsid w:val="002A0F27"/>
    <w:rsid w:val="002A0F58"/>
    <w:rsid w:val="002A2B5B"/>
    <w:rsid w:val="002B0C95"/>
    <w:rsid w:val="002B1167"/>
    <w:rsid w:val="002B2B29"/>
    <w:rsid w:val="002B3B5D"/>
    <w:rsid w:val="002B50B0"/>
    <w:rsid w:val="002B7307"/>
    <w:rsid w:val="002C4704"/>
    <w:rsid w:val="002C530A"/>
    <w:rsid w:val="002C5B39"/>
    <w:rsid w:val="002C5E36"/>
    <w:rsid w:val="002C5E60"/>
    <w:rsid w:val="002D0ED2"/>
    <w:rsid w:val="002D2103"/>
    <w:rsid w:val="002D23B3"/>
    <w:rsid w:val="002D39F4"/>
    <w:rsid w:val="002D3B4D"/>
    <w:rsid w:val="002D412F"/>
    <w:rsid w:val="002D76E0"/>
    <w:rsid w:val="002E039B"/>
    <w:rsid w:val="002E196F"/>
    <w:rsid w:val="002E2221"/>
    <w:rsid w:val="002E3D9F"/>
    <w:rsid w:val="002E413C"/>
    <w:rsid w:val="002E5ED0"/>
    <w:rsid w:val="002E6D45"/>
    <w:rsid w:val="002F0257"/>
    <w:rsid w:val="002F2174"/>
    <w:rsid w:val="002F2E74"/>
    <w:rsid w:val="002F5487"/>
    <w:rsid w:val="002F6622"/>
    <w:rsid w:val="0030107F"/>
    <w:rsid w:val="0030772A"/>
    <w:rsid w:val="00311C83"/>
    <w:rsid w:val="00312806"/>
    <w:rsid w:val="00314CEC"/>
    <w:rsid w:val="00316390"/>
    <w:rsid w:val="00316F36"/>
    <w:rsid w:val="00317E99"/>
    <w:rsid w:val="003212E9"/>
    <w:rsid w:val="00321A2A"/>
    <w:rsid w:val="003245E2"/>
    <w:rsid w:val="00324783"/>
    <w:rsid w:val="00326702"/>
    <w:rsid w:val="00327F97"/>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797B"/>
    <w:rsid w:val="00377D46"/>
    <w:rsid w:val="00381C8F"/>
    <w:rsid w:val="00383DCB"/>
    <w:rsid w:val="00386496"/>
    <w:rsid w:val="00390B6E"/>
    <w:rsid w:val="00392890"/>
    <w:rsid w:val="0039395D"/>
    <w:rsid w:val="00393FC5"/>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E3F"/>
    <w:rsid w:val="003C48FC"/>
    <w:rsid w:val="003C5D43"/>
    <w:rsid w:val="003C7738"/>
    <w:rsid w:val="003D1418"/>
    <w:rsid w:val="003D3FBC"/>
    <w:rsid w:val="003D52B7"/>
    <w:rsid w:val="003D5E1B"/>
    <w:rsid w:val="003E01A5"/>
    <w:rsid w:val="003E0A48"/>
    <w:rsid w:val="003E39B8"/>
    <w:rsid w:val="003E4725"/>
    <w:rsid w:val="003F2A33"/>
    <w:rsid w:val="003F776B"/>
    <w:rsid w:val="00401378"/>
    <w:rsid w:val="00403B07"/>
    <w:rsid w:val="00413542"/>
    <w:rsid w:val="0041367F"/>
    <w:rsid w:val="00413EFB"/>
    <w:rsid w:val="00424F10"/>
    <w:rsid w:val="004319D2"/>
    <w:rsid w:val="00433328"/>
    <w:rsid w:val="004338FE"/>
    <w:rsid w:val="004409B0"/>
    <w:rsid w:val="0044342D"/>
    <w:rsid w:val="00443730"/>
    <w:rsid w:val="0044397B"/>
    <w:rsid w:val="00446208"/>
    <w:rsid w:val="00447622"/>
    <w:rsid w:val="00450A9D"/>
    <w:rsid w:val="00450B93"/>
    <w:rsid w:val="00451C77"/>
    <w:rsid w:val="0045453C"/>
    <w:rsid w:val="00456875"/>
    <w:rsid w:val="0045749A"/>
    <w:rsid w:val="0045772A"/>
    <w:rsid w:val="00460079"/>
    <w:rsid w:val="00465B70"/>
    <w:rsid w:val="00472C78"/>
    <w:rsid w:val="0047350C"/>
    <w:rsid w:val="00473B46"/>
    <w:rsid w:val="00473E48"/>
    <w:rsid w:val="004744F8"/>
    <w:rsid w:val="004757C8"/>
    <w:rsid w:val="004847EC"/>
    <w:rsid w:val="00484AA7"/>
    <w:rsid w:val="00485C96"/>
    <w:rsid w:val="004866D1"/>
    <w:rsid w:val="0048706B"/>
    <w:rsid w:val="00491903"/>
    <w:rsid w:val="00491F31"/>
    <w:rsid w:val="00493169"/>
    <w:rsid w:val="004931E3"/>
    <w:rsid w:val="004A2EFB"/>
    <w:rsid w:val="004A36BC"/>
    <w:rsid w:val="004A5D80"/>
    <w:rsid w:val="004A5FA9"/>
    <w:rsid w:val="004B0399"/>
    <w:rsid w:val="004B0EBC"/>
    <w:rsid w:val="004B2652"/>
    <w:rsid w:val="004B27A2"/>
    <w:rsid w:val="004B455E"/>
    <w:rsid w:val="004B7883"/>
    <w:rsid w:val="004C1C05"/>
    <w:rsid w:val="004C2F1E"/>
    <w:rsid w:val="004C2FD9"/>
    <w:rsid w:val="004C4A22"/>
    <w:rsid w:val="004C5C62"/>
    <w:rsid w:val="004C5DF3"/>
    <w:rsid w:val="004C6623"/>
    <w:rsid w:val="004D01FD"/>
    <w:rsid w:val="004D036F"/>
    <w:rsid w:val="004D10F2"/>
    <w:rsid w:val="004D19F9"/>
    <w:rsid w:val="004D2A28"/>
    <w:rsid w:val="004D50E0"/>
    <w:rsid w:val="004D5A6D"/>
    <w:rsid w:val="004D7707"/>
    <w:rsid w:val="004E2400"/>
    <w:rsid w:val="004E4CC2"/>
    <w:rsid w:val="004F0BC1"/>
    <w:rsid w:val="004F1247"/>
    <w:rsid w:val="004F3229"/>
    <w:rsid w:val="004F70AE"/>
    <w:rsid w:val="004F7784"/>
    <w:rsid w:val="005008C8"/>
    <w:rsid w:val="00502C48"/>
    <w:rsid w:val="005058EB"/>
    <w:rsid w:val="005107B3"/>
    <w:rsid w:val="0051209B"/>
    <w:rsid w:val="00514D49"/>
    <w:rsid w:val="00517060"/>
    <w:rsid w:val="00517CA9"/>
    <w:rsid w:val="00522B94"/>
    <w:rsid w:val="00525343"/>
    <w:rsid w:val="00527959"/>
    <w:rsid w:val="00527F9C"/>
    <w:rsid w:val="00532AD4"/>
    <w:rsid w:val="00532BBD"/>
    <w:rsid w:val="0053472A"/>
    <w:rsid w:val="00534FFD"/>
    <w:rsid w:val="00535C1C"/>
    <w:rsid w:val="00540D33"/>
    <w:rsid w:val="0054129B"/>
    <w:rsid w:val="00541831"/>
    <w:rsid w:val="0054369F"/>
    <w:rsid w:val="00544D06"/>
    <w:rsid w:val="005453C7"/>
    <w:rsid w:val="00553D1E"/>
    <w:rsid w:val="00554FB2"/>
    <w:rsid w:val="0056002A"/>
    <w:rsid w:val="005615FD"/>
    <w:rsid w:val="00561C4B"/>
    <w:rsid w:val="00564806"/>
    <w:rsid w:val="00564B46"/>
    <w:rsid w:val="005650AE"/>
    <w:rsid w:val="005651B0"/>
    <w:rsid w:val="00566EF1"/>
    <w:rsid w:val="005676B9"/>
    <w:rsid w:val="00570A32"/>
    <w:rsid w:val="0057276F"/>
    <w:rsid w:val="00574951"/>
    <w:rsid w:val="00576316"/>
    <w:rsid w:val="00576F2D"/>
    <w:rsid w:val="00581ECA"/>
    <w:rsid w:val="00582C5C"/>
    <w:rsid w:val="005832F4"/>
    <w:rsid w:val="00584C77"/>
    <w:rsid w:val="0059185A"/>
    <w:rsid w:val="00591A77"/>
    <w:rsid w:val="00594062"/>
    <w:rsid w:val="00594A92"/>
    <w:rsid w:val="00594CA6"/>
    <w:rsid w:val="00597510"/>
    <w:rsid w:val="00597CEB"/>
    <w:rsid w:val="00597D6B"/>
    <w:rsid w:val="005A2D7E"/>
    <w:rsid w:val="005A72A0"/>
    <w:rsid w:val="005A7888"/>
    <w:rsid w:val="005A7B6D"/>
    <w:rsid w:val="005B0701"/>
    <w:rsid w:val="005B18E5"/>
    <w:rsid w:val="005B23CE"/>
    <w:rsid w:val="005B4109"/>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4C5"/>
    <w:rsid w:val="005E5F67"/>
    <w:rsid w:val="005F408E"/>
    <w:rsid w:val="005F55FE"/>
    <w:rsid w:val="005F5FFF"/>
    <w:rsid w:val="005F7921"/>
    <w:rsid w:val="0060170A"/>
    <w:rsid w:val="0060260D"/>
    <w:rsid w:val="0060280B"/>
    <w:rsid w:val="00602E44"/>
    <w:rsid w:val="00603476"/>
    <w:rsid w:val="00604D7D"/>
    <w:rsid w:val="00605760"/>
    <w:rsid w:val="0060579C"/>
    <w:rsid w:val="00606173"/>
    <w:rsid w:val="006101D6"/>
    <w:rsid w:val="0061093E"/>
    <w:rsid w:val="006114F2"/>
    <w:rsid w:val="006114F8"/>
    <w:rsid w:val="0061215A"/>
    <w:rsid w:val="006146A6"/>
    <w:rsid w:val="00614714"/>
    <w:rsid w:val="00615426"/>
    <w:rsid w:val="006168F0"/>
    <w:rsid w:val="00616B31"/>
    <w:rsid w:val="006208CE"/>
    <w:rsid w:val="00623B09"/>
    <w:rsid w:val="00625833"/>
    <w:rsid w:val="00625C1B"/>
    <w:rsid w:val="00627643"/>
    <w:rsid w:val="0063028F"/>
    <w:rsid w:val="0063076D"/>
    <w:rsid w:val="00630B02"/>
    <w:rsid w:val="00631578"/>
    <w:rsid w:val="00631B3C"/>
    <w:rsid w:val="00632E79"/>
    <w:rsid w:val="00633603"/>
    <w:rsid w:val="00636CCE"/>
    <w:rsid w:val="006406FE"/>
    <w:rsid w:val="006415BE"/>
    <w:rsid w:val="00653070"/>
    <w:rsid w:val="006611BB"/>
    <w:rsid w:val="006647CB"/>
    <w:rsid w:val="006651C5"/>
    <w:rsid w:val="006660FC"/>
    <w:rsid w:val="00667083"/>
    <w:rsid w:val="00667FC3"/>
    <w:rsid w:val="006710CF"/>
    <w:rsid w:val="00671391"/>
    <w:rsid w:val="00676BF2"/>
    <w:rsid w:val="00676E2E"/>
    <w:rsid w:val="00681BDD"/>
    <w:rsid w:val="0068779B"/>
    <w:rsid w:val="00687A5C"/>
    <w:rsid w:val="00691FA0"/>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E0947"/>
    <w:rsid w:val="006E4F2E"/>
    <w:rsid w:val="006E6463"/>
    <w:rsid w:val="006F11FA"/>
    <w:rsid w:val="006F269F"/>
    <w:rsid w:val="006F4F97"/>
    <w:rsid w:val="006F510F"/>
    <w:rsid w:val="006F581E"/>
    <w:rsid w:val="006F78EA"/>
    <w:rsid w:val="007000E4"/>
    <w:rsid w:val="007025DE"/>
    <w:rsid w:val="00705753"/>
    <w:rsid w:val="00706390"/>
    <w:rsid w:val="0070710A"/>
    <w:rsid w:val="00711BFC"/>
    <w:rsid w:val="00712B41"/>
    <w:rsid w:val="00714D76"/>
    <w:rsid w:val="0071556F"/>
    <w:rsid w:val="00715616"/>
    <w:rsid w:val="00717DCC"/>
    <w:rsid w:val="00721F75"/>
    <w:rsid w:val="00723DD7"/>
    <w:rsid w:val="00725011"/>
    <w:rsid w:val="00730ED5"/>
    <w:rsid w:val="00731AD7"/>
    <w:rsid w:val="0073510A"/>
    <w:rsid w:val="007367A8"/>
    <w:rsid w:val="00743716"/>
    <w:rsid w:val="00743EC6"/>
    <w:rsid w:val="007446E9"/>
    <w:rsid w:val="00750EB4"/>
    <w:rsid w:val="0076054A"/>
    <w:rsid w:val="00761047"/>
    <w:rsid w:val="0076127E"/>
    <w:rsid w:val="00761AC6"/>
    <w:rsid w:val="007632EE"/>
    <w:rsid w:val="00765830"/>
    <w:rsid w:val="00765C85"/>
    <w:rsid w:val="00766278"/>
    <w:rsid w:val="00766E20"/>
    <w:rsid w:val="00770E8C"/>
    <w:rsid w:val="00771256"/>
    <w:rsid w:val="0077263A"/>
    <w:rsid w:val="00774294"/>
    <w:rsid w:val="00774F46"/>
    <w:rsid w:val="00777721"/>
    <w:rsid w:val="00781596"/>
    <w:rsid w:val="00784B01"/>
    <w:rsid w:val="00785133"/>
    <w:rsid w:val="00786040"/>
    <w:rsid w:val="0079014D"/>
    <w:rsid w:val="007926FF"/>
    <w:rsid w:val="00796918"/>
    <w:rsid w:val="00796C29"/>
    <w:rsid w:val="00797DAF"/>
    <w:rsid w:val="007A172E"/>
    <w:rsid w:val="007A6E20"/>
    <w:rsid w:val="007A6FA4"/>
    <w:rsid w:val="007A75B2"/>
    <w:rsid w:val="007B0E42"/>
    <w:rsid w:val="007B3204"/>
    <w:rsid w:val="007B3E4C"/>
    <w:rsid w:val="007B4AAB"/>
    <w:rsid w:val="007B6421"/>
    <w:rsid w:val="007C17A9"/>
    <w:rsid w:val="007C3B60"/>
    <w:rsid w:val="007D10DC"/>
    <w:rsid w:val="007D194F"/>
    <w:rsid w:val="007D2741"/>
    <w:rsid w:val="007D40F8"/>
    <w:rsid w:val="007D4F4E"/>
    <w:rsid w:val="007E14BC"/>
    <w:rsid w:val="007E1848"/>
    <w:rsid w:val="007E73FE"/>
    <w:rsid w:val="007E7474"/>
    <w:rsid w:val="007F0F14"/>
    <w:rsid w:val="007F165B"/>
    <w:rsid w:val="007F26B1"/>
    <w:rsid w:val="007F394C"/>
    <w:rsid w:val="007F5F2B"/>
    <w:rsid w:val="008034CF"/>
    <w:rsid w:val="008042F6"/>
    <w:rsid w:val="00804CA5"/>
    <w:rsid w:val="0080610F"/>
    <w:rsid w:val="0080634A"/>
    <w:rsid w:val="00816A43"/>
    <w:rsid w:val="00817252"/>
    <w:rsid w:val="0081743A"/>
    <w:rsid w:val="00817B9C"/>
    <w:rsid w:val="008226C2"/>
    <w:rsid w:val="00822CC4"/>
    <w:rsid w:val="0082348B"/>
    <w:rsid w:val="008313A9"/>
    <w:rsid w:val="00831A0E"/>
    <w:rsid w:val="0083525C"/>
    <w:rsid w:val="00840B70"/>
    <w:rsid w:val="008450A7"/>
    <w:rsid w:val="00846932"/>
    <w:rsid w:val="00850795"/>
    <w:rsid w:val="00851892"/>
    <w:rsid w:val="0085755F"/>
    <w:rsid w:val="00863046"/>
    <w:rsid w:val="00863A31"/>
    <w:rsid w:val="0086707A"/>
    <w:rsid w:val="008676C2"/>
    <w:rsid w:val="0087383A"/>
    <w:rsid w:val="00873C19"/>
    <w:rsid w:val="00874BC7"/>
    <w:rsid w:val="0087625B"/>
    <w:rsid w:val="0088032D"/>
    <w:rsid w:val="00880A4F"/>
    <w:rsid w:val="00884C24"/>
    <w:rsid w:val="00884D84"/>
    <w:rsid w:val="00885923"/>
    <w:rsid w:val="00886328"/>
    <w:rsid w:val="00887E28"/>
    <w:rsid w:val="008937D3"/>
    <w:rsid w:val="00894809"/>
    <w:rsid w:val="008A16B5"/>
    <w:rsid w:val="008A23FC"/>
    <w:rsid w:val="008A29CF"/>
    <w:rsid w:val="008A383C"/>
    <w:rsid w:val="008A4E09"/>
    <w:rsid w:val="008A6107"/>
    <w:rsid w:val="008A69EB"/>
    <w:rsid w:val="008B24AE"/>
    <w:rsid w:val="008C0879"/>
    <w:rsid w:val="008C0B79"/>
    <w:rsid w:val="008C61C6"/>
    <w:rsid w:val="008D01E8"/>
    <w:rsid w:val="008D2192"/>
    <w:rsid w:val="008D34C9"/>
    <w:rsid w:val="008D3BAD"/>
    <w:rsid w:val="008D4131"/>
    <w:rsid w:val="008D6398"/>
    <w:rsid w:val="008D6DE3"/>
    <w:rsid w:val="008E3181"/>
    <w:rsid w:val="008E332D"/>
    <w:rsid w:val="008E52D2"/>
    <w:rsid w:val="008F0049"/>
    <w:rsid w:val="0090254B"/>
    <w:rsid w:val="00904CB8"/>
    <w:rsid w:val="009057B9"/>
    <w:rsid w:val="0090786B"/>
    <w:rsid w:val="00907B2C"/>
    <w:rsid w:val="00910CC5"/>
    <w:rsid w:val="009110B3"/>
    <w:rsid w:val="00911B4D"/>
    <w:rsid w:val="009121F4"/>
    <w:rsid w:val="00913700"/>
    <w:rsid w:val="00913843"/>
    <w:rsid w:val="00914D04"/>
    <w:rsid w:val="00915AFC"/>
    <w:rsid w:val="00915BD1"/>
    <w:rsid w:val="00917483"/>
    <w:rsid w:val="00922C0E"/>
    <w:rsid w:val="00923988"/>
    <w:rsid w:val="00923DBF"/>
    <w:rsid w:val="00925A03"/>
    <w:rsid w:val="00925BCB"/>
    <w:rsid w:val="009260DC"/>
    <w:rsid w:val="00927E13"/>
    <w:rsid w:val="009341A7"/>
    <w:rsid w:val="009358C1"/>
    <w:rsid w:val="00936227"/>
    <w:rsid w:val="00937929"/>
    <w:rsid w:val="00940731"/>
    <w:rsid w:val="009469D4"/>
    <w:rsid w:val="00950542"/>
    <w:rsid w:val="00950CEC"/>
    <w:rsid w:val="00955FF0"/>
    <w:rsid w:val="0095753D"/>
    <w:rsid w:val="00957FB6"/>
    <w:rsid w:val="00961D29"/>
    <w:rsid w:val="009628F4"/>
    <w:rsid w:val="0096362E"/>
    <w:rsid w:val="0096573B"/>
    <w:rsid w:val="00965DB6"/>
    <w:rsid w:val="00971D3B"/>
    <w:rsid w:val="009721A2"/>
    <w:rsid w:val="0097255B"/>
    <w:rsid w:val="00975731"/>
    <w:rsid w:val="0097684F"/>
    <w:rsid w:val="00977118"/>
    <w:rsid w:val="009809D7"/>
    <w:rsid w:val="00980C1F"/>
    <w:rsid w:val="00981894"/>
    <w:rsid w:val="00984C70"/>
    <w:rsid w:val="00984E15"/>
    <w:rsid w:val="009851F2"/>
    <w:rsid w:val="00985EDB"/>
    <w:rsid w:val="009869EE"/>
    <w:rsid w:val="009913D5"/>
    <w:rsid w:val="00991C2E"/>
    <w:rsid w:val="009920F4"/>
    <w:rsid w:val="009922DB"/>
    <w:rsid w:val="00992895"/>
    <w:rsid w:val="00995A6C"/>
    <w:rsid w:val="009979D0"/>
    <w:rsid w:val="009A12E6"/>
    <w:rsid w:val="009A20CF"/>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D03C8"/>
    <w:rsid w:val="009D10A9"/>
    <w:rsid w:val="009D1CD6"/>
    <w:rsid w:val="009D23C0"/>
    <w:rsid w:val="009D28FD"/>
    <w:rsid w:val="009D389A"/>
    <w:rsid w:val="009D4682"/>
    <w:rsid w:val="009D5E91"/>
    <w:rsid w:val="009D707C"/>
    <w:rsid w:val="009D7365"/>
    <w:rsid w:val="009E4528"/>
    <w:rsid w:val="009F33DC"/>
    <w:rsid w:val="009F3F45"/>
    <w:rsid w:val="009F440D"/>
    <w:rsid w:val="009F448F"/>
    <w:rsid w:val="009F47CA"/>
    <w:rsid w:val="009F62A2"/>
    <w:rsid w:val="009F6428"/>
    <w:rsid w:val="009F7387"/>
    <w:rsid w:val="00A01687"/>
    <w:rsid w:val="00A0261B"/>
    <w:rsid w:val="00A10822"/>
    <w:rsid w:val="00A122D2"/>
    <w:rsid w:val="00A143A2"/>
    <w:rsid w:val="00A14BB4"/>
    <w:rsid w:val="00A161F7"/>
    <w:rsid w:val="00A2040A"/>
    <w:rsid w:val="00A214C7"/>
    <w:rsid w:val="00A24E38"/>
    <w:rsid w:val="00A25BFD"/>
    <w:rsid w:val="00A2799E"/>
    <w:rsid w:val="00A311E9"/>
    <w:rsid w:val="00A340A8"/>
    <w:rsid w:val="00A35987"/>
    <w:rsid w:val="00A366BD"/>
    <w:rsid w:val="00A37013"/>
    <w:rsid w:val="00A403D5"/>
    <w:rsid w:val="00A40A44"/>
    <w:rsid w:val="00A415BC"/>
    <w:rsid w:val="00A4336D"/>
    <w:rsid w:val="00A433A4"/>
    <w:rsid w:val="00A44A7A"/>
    <w:rsid w:val="00A51D79"/>
    <w:rsid w:val="00A52204"/>
    <w:rsid w:val="00A53DD0"/>
    <w:rsid w:val="00A54909"/>
    <w:rsid w:val="00A55241"/>
    <w:rsid w:val="00A6018F"/>
    <w:rsid w:val="00A616E3"/>
    <w:rsid w:val="00A637C2"/>
    <w:rsid w:val="00A63985"/>
    <w:rsid w:val="00A65893"/>
    <w:rsid w:val="00A67508"/>
    <w:rsid w:val="00A74952"/>
    <w:rsid w:val="00A74985"/>
    <w:rsid w:val="00A7506D"/>
    <w:rsid w:val="00A7529A"/>
    <w:rsid w:val="00A803A8"/>
    <w:rsid w:val="00A803AF"/>
    <w:rsid w:val="00A80C03"/>
    <w:rsid w:val="00A80EF8"/>
    <w:rsid w:val="00A8150B"/>
    <w:rsid w:val="00A81DAC"/>
    <w:rsid w:val="00A86766"/>
    <w:rsid w:val="00A950EA"/>
    <w:rsid w:val="00A958B0"/>
    <w:rsid w:val="00AA1B41"/>
    <w:rsid w:val="00AA4928"/>
    <w:rsid w:val="00AA5851"/>
    <w:rsid w:val="00AA6956"/>
    <w:rsid w:val="00AB107D"/>
    <w:rsid w:val="00AB1B1F"/>
    <w:rsid w:val="00AB381A"/>
    <w:rsid w:val="00AB4A0F"/>
    <w:rsid w:val="00AB4BD5"/>
    <w:rsid w:val="00AB5354"/>
    <w:rsid w:val="00AB573B"/>
    <w:rsid w:val="00AB61FB"/>
    <w:rsid w:val="00AC530C"/>
    <w:rsid w:val="00AC55A9"/>
    <w:rsid w:val="00AC6816"/>
    <w:rsid w:val="00AC7652"/>
    <w:rsid w:val="00AD177C"/>
    <w:rsid w:val="00AD40AF"/>
    <w:rsid w:val="00AE075A"/>
    <w:rsid w:val="00AE2CB0"/>
    <w:rsid w:val="00AE2D6B"/>
    <w:rsid w:val="00AE7ED9"/>
    <w:rsid w:val="00AF4238"/>
    <w:rsid w:val="00AF44E3"/>
    <w:rsid w:val="00AF4E17"/>
    <w:rsid w:val="00AF5651"/>
    <w:rsid w:val="00AF791B"/>
    <w:rsid w:val="00B02996"/>
    <w:rsid w:val="00B04065"/>
    <w:rsid w:val="00B151DB"/>
    <w:rsid w:val="00B15A75"/>
    <w:rsid w:val="00B162D9"/>
    <w:rsid w:val="00B163AF"/>
    <w:rsid w:val="00B20B66"/>
    <w:rsid w:val="00B2221F"/>
    <w:rsid w:val="00B22242"/>
    <w:rsid w:val="00B25641"/>
    <w:rsid w:val="00B4031D"/>
    <w:rsid w:val="00B411EC"/>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2611"/>
    <w:rsid w:val="00B93AEB"/>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C0D33"/>
    <w:rsid w:val="00BC2142"/>
    <w:rsid w:val="00BC248C"/>
    <w:rsid w:val="00BC6E73"/>
    <w:rsid w:val="00BC6FBA"/>
    <w:rsid w:val="00BD2335"/>
    <w:rsid w:val="00BD3C54"/>
    <w:rsid w:val="00BD3E19"/>
    <w:rsid w:val="00BD47D4"/>
    <w:rsid w:val="00BD4FD2"/>
    <w:rsid w:val="00BD5238"/>
    <w:rsid w:val="00BD661E"/>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3C87"/>
    <w:rsid w:val="00C14153"/>
    <w:rsid w:val="00C155A0"/>
    <w:rsid w:val="00C20356"/>
    <w:rsid w:val="00C20397"/>
    <w:rsid w:val="00C241D7"/>
    <w:rsid w:val="00C24C66"/>
    <w:rsid w:val="00C25C3E"/>
    <w:rsid w:val="00C31534"/>
    <w:rsid w:val="00C32E3A"/>
    <w:rsid w:val="00C337D1"/>
    <w:rsid w:val="00C363A2"/>
    <w:rsid w:val="00C415EE"/>
    <w:rsid w:val="00C43920"/>
    <w:rsid w:val="00C43A38"/>
    <w:rsid w:val="00C44475"/>
    <w:rsid w:val="00C455D7"/>
    <w:rsid w:val="00C455E8"/>
    <w:rsid w:val="00C46D53"/>
    <w:rsid w:val="00C47C32"/>
    <w:rsid w:val="00C47EC9"/>
    <w:rsid w:val="00C514F8"/>
    <w:rsid w:val="00C52746"/>
    <w:rsid w:val="00C52D67"/>
    <w:rsid w:val="00C54B46"/>
    <w:rsid w:val="00C55E50"/>
    <w:rsid w:val="00C63A36"/>
    <w:rsid w:val="00C644AA"/>
    <w:rsid w:val="00C661AF"/>
    <w:rsid w:val="00C667ED"/>
    <w:rsid w:val="00C71182"/>
    <w:rsid w:val="00C7260D"/>
    <w:rsid w:val="00C727B5"/>
    <w:rsid w:val="00C7487B"/>
    <w:rsid w:val="00C758D5"/>
    <w:rsid w:val="00C775F8"/>
    <w:rsid w:val="00C815E2"/>
    <w:rsid w:val="00C877ED"/>
    <w:rsid w:val="00C9478D"/>
    <w:rsid w:val="00C95CC4"/>
    <w:rsid w:val="00CA1817"/>
    <w:rsid w:val="00CA3428"/>
    <w:rsid w:val="00CA5334"/>
    <w:rsid w:val="00CA6689"/>
    <w:rsid w:val="00CA74EF"/>
    <w:rsid w:val="00CA7674"/>
    <w:rsid w:val="00CB029A"/>
    <w:rsid w:val="00CB042E"/>
    <w:rsid w:val="00CB2F21"/>
    <w:rsid w:val="00CB4C03"/>
    <w:rsid w:val="00CB6CBC"/>
    <w:rsid w:val="00CB7F4C"/>
    <w:rsid w:val="00CC03B8"/>
    <w:rsid w:val="00CC1203"/>
    <w:rsid w:val="00CC1D6B"/>
    <w:rsid w:val="00CC322E"/>
    <w:rsid w:val="00CC3B73"/>
    <w:rsid w:val="00CC508E"/>
    <w:rsid w:val="00CD1E80"/>
    <w:rsid w:val="00CD49B0"/>
    <w:rsid w:val="00CE1C3E"/>
    <w:rsid w:val="00CE2EFD"/>
    <w:rsid w:val="00CE43CC"/>
    <w:rsid w:val="00CE5182"/>
    <w:rsid w:val="00CF57FB"/>
    <w:rsid w:val="00D0376F"/>
    <w:rsid w:val="00D06B7D"/>
    <w:rsid w:val="00D12A10"/>
    <w:rsid w:val="00D13BF8"/>
    <w:rsid w:val="00D149CC"/>
    <w:rsid w:val="00D204B4"/>
    <w:rsid w:val="00D20B1C"/>
    <w:rsid w:val="00D240E3"/>
    <w:rsid w:val="00D33A67"/>
    <w:rsid w:val="00D35E2D"/>
    <w:rsid w:val="00D47357"/>
    <w:rsid w:val="00D47834"/>
    <w:rsid w:val="00D51DE0"/>
    <w:rsid w:val="00D56522"/>
    <w:rsid w:val="00D60A4B"/>
    <w:rsid w:val="00D6342D"/>
    <w:rsid w:val="00D676A4"/>
    <w:rsid w:val="00D71EE1"/>
    <w:rsid w:val="00D72CA2"/>
    <w:rsid w:val="00D72FF0"/>
    <w:rsid w:val="00D77009"/>
    <w:rsid w:val="00D77CBE"/>
    <w:rsid w:val="00D80882"/>
    <w:rsid w:val="00D80F00"/>
    <w:rsid w:val="00D90832"/>
    <w:rsid w:val="00D90D6C"/>
    <w:rsid w:val="00D94E91"/>
    <w:rsid w:val="00D96633"/>
    <w:rsid w:val="00DA2717"/>
    <w:rsid w:val="00DA322E"/>
    <w:rsid w:val="00DA7FD8"/>
    <w:rsid w:val="00DB2BFE"/>
    <w:rsid w:val="00DB3F2D"/>
    <w:rsid w:val="00DB4820"/>
    <w:rsid w:val="00DB4F78"/>
    <w:rsid w:val="00DC164C"/>
    <w:rsid w:val="00DC43A7"/>
    <w:rsid w:val="00DC7615"/>
    <w:rsid w:val="00DD25CA"/>
    <w:rsid w:val="00DD261C"/>
    <w:rsid w:val="00DD38DF"/>
    <w:rsid w:val="00DD6F06"/>
    <w:rsid w:val="00DE64FA"/>
    <w:rsid w:val="00DF0C87"/>
    <w:rsid w:val="00DF215A"/>
    <w:rsid w:val="00DF2244"/>
    <w:rsid w:val="00DF3C1D"/>
    <w:rsid w:val="00DF5638"/>
    <w:rsid w:val="00DF602F"/>
    <w:rsid w:val="00DF7C9B"/>
    <w:rsid w:val="00E037F7"/>
    <w:rsid w:val="00E05320"/>
    <w:rsid w:val="00E05939"/>
    <w:rsid w:val="00E07142"/>
    <w:rsid w:val="00E112A1"/>
    <w:rsid w:val="00E11CE3"/>
    <w:rsid w:val="00E14521"/>
    <w:rsid w:val="00E148DF"/>
    <w:rsid w:val="00E1513A"/>
    <w:rsid w:val="00E170B3"/>
    <w:rsid w:val="00E17DC9"/>
    <w:rsid w:val="00E22D79"/>
    <w:rsid w:val="00E2432A"/>
    <w:rsid w:val="00E24BA0"/>
    <w:rsid w:val="00E258BD"/>
    <w:rsid w:val="00E30A2A"/>
    <w:rsid w:val="00E31D6B"/>
    <w:rsid w:val="00E34793"/>
    <w:rsid w:val="00E34F35"/>
    <w:rsid w:val="00E35CE0"/>
    <w:rsid w:val="00E36E29"/>
    <w:rsid w:val="00E3757E"/>
    <w:rsid w:val="00E42377"/>
    <w:rsid w:val="00E43C3B"/>
    <w:rsid w:val="00E446AD"/>
    <w:rsid w:val="00E469DB"/>
    <w:rsid w:val="00E46C18"/>
    <w:rsid w:val="00E47A1B"/>
    <w:rsid w:val="00E50B0B"/>
    <w:rsid w:val="00E51944"/>
    <w:rsid w:val="00E51CF2"/>
    <w:rsid w:val="00E541F7"/>
    <w:rsid w:val="00E57ED3"/>
    <w:rsid w:val="00E57FD8"/>
    <w:rsid w:val="00E6326D"/>
    <w:rsid w:val="00E64685"/>
    <w:rsid w:val="00E66344"/>
    <w:rsid w:val="00E66C9F"/>
    <w:rsid w:val="00E7178F"/>
    <w:rsid w:val="00E73F97"/>
    <w:rsid w:val="00E80EC1"/>
    <w:rsid w:val="00E8109A"/>
    <w:rsid w:val="00E8134F"/>
    <w:rsid w:val="00E83855"/>
    <w:rsid w:val="00E83CC8"/>
    <w:rsid w:val="00E86415"/>
    <w:rsid w:val="00E878FA"/>
    <w:rsid w:val="00E9036C"/>
    <w:rsid w:val="00E934E4"/>
    <w:rsid w:val="00E94FB7"/>
    <w:rsid w:val="00E95DA9"/>
    <w:rsid w:val="00E97729"/>
    <w:rsid w:val="00EA1C48"/>
    <w:rsid w:val="00EB0F93"/>
    <w:rsid w:val="00EB3ADA"/>
    <w:rsid w:val="00EB7678"/>
    <w:rsid w:val="00EC29F3"/>
    <w:rsid w:val="00EC2D3B"/>
    <w:rsid w:val="00EC5B9A"/>
    <w:rsid w:val="00EC607F"/>
    <w:rsid w:val="00EC783D"/>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361"/>
    <w:rsid w:val="00F12D9D"/>
    <w:rsid w:val="00F1663D"/>
    <w:rsid w:val="00F17110"/>
    <w:rsid w:val="00F201FA"/>
    <w:rsid w:val="00F21CA6"/>
    <w:rsid w:val="00F24BCB"/>
    <w:rsid w:val="00F24C54"/>
    <w:rsid w:val="00F258FF"/>
    <w:rsid w:val="00F260CA"/>
    <w:rsid w:val="00F27DFE"/>
    <w:rsid w:val="00F36BDA"/>
    <w:rsid w:val="00F376C9"/>
    <w:rsid w:val="00F4128F"/>
    <w:rsid w:val="00F4388B"/>
    <w:rsid w:val="00F4499B"/>
    <w:rsid w:val="00F46ECB"/>
    <w:rsid w:val="00F50037"/>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1EEE"/>
    <w:rsid w:val="00F7629A"/>
    <w:rsid w:val="00F80ECC"/>
    <w:rsid w:val="00F818EF"/>
    <w:rsid w:val="00F82876"/>
    <w:rsid w:val="00F8726F"/>
    <w:rsid w:val="00F876B4"/>
    <w:rsid w:val="00F90107"/>
    <w:rsid w:val="00F93395"/>
    <w:rsid w:val="00F94ED5"/>
    <w:rsid w:val="00F955E3"/>
    <w:rsid w:val="00F967ED"/>
    <w:rsid w:val="00F97B27"/>
    <w:rsid w:val="00FA0F9B"/>
    <w:rsid w:val="00FA49AA"/>
    <w:rsid w:val="00FA53DA"/>
    <w:rsid w:val="00FA715A"/>
    <w:rsid w:val="00FA76F3"/>
    <w:rsid w:val="00FB1406"/>
    <w:rsid w:val="00FB50EF"/>
    <w:rsid w:val="00FB601F"/>
    <w:rsid w:val="00FB6FED"/>
    <w:rsid w:val="00FB7A68"/>
    <w:rsid w:val="00FC07E5"/>
    <w:rsid w:val="00FC269F"/>
    <w:rsid w:val="00FC3D87"/>
    <w:rsid w:val="00FD1706"/>
    <w:rsid w:val="00FD36B8"/>
    <w:rsid w:val="00FD768A"/>
    <w:rsid w:val="00FD7A60"/>
    <w:rsid w:val="00FE0011"/>
    <w:rsid w:val="00FE099C"/>
    <w:rsid w:val="00FE287B"/>
    <w:rsid w:val="00FE3F02"/>
    <w:rsid w:val="00FE65DD"/>
    <w:rsid w:val="00FE6613"/>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441" TargetMode="External"/><Relationship Id="rId18" Type="http://schemas.openxmlformats.org/officeDocument/2006/relationships/hyperlink" Target="https://www.nice.org.uk/guidance/cg10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nice.org.uk/guidance/ta440" TargetMode="External"/><Relationship Id="rId17" Type="http://schemas.openxmlformats.org/officeDocument/2006/relationships/hyperlink" Target="https://www.nice.org.uk/guidance/cg61" TargetMode="External"/><Relationship Id="rId2" Type="http://schemas.openxmlformats.org/officeDocument/2006/relationships/numbering" Target="numbering.xml"/><Relationship Id="rId16" Type="http://schemas.openxmlformats.org/officeDocument/2006/relationships/hyperlink" Target="https://www.nice.org.uk/guidance/ng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ice.org.uk/guidance/ta4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4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8568-CE77-4781-BEA5-1E5CBC66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24</cp:revision>
  <cp:lastPrinted>2017-06-15T14:40:00Z</cp:lastPrinted>
  <dcterms:created xsi:type="dcterms:W3CDTF">2017-06-09T08:01:00Z</dcterms:created>
  <dcterms:modified xsi:type="dcterms:W3CDTF">2017-06-16T08:43:00Z</dcterms:modified>
</cp:coreProperties>
</file>