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BF6C04" w:rsidP="000F7B04">
      <w:pPr>
        <w:pStyle w:val="NoSpacing"/>
        <w:jc w:val="center"/>
        <w:rPr>
          <w:rFonts w:ascii="Arial" w:hAnsi="Arial" w:cs="Arial"/>
          <w:b/>
          <w:bCs/>
          <w:sz w:val="24"/>
          <w:szCs w:val="24"/>
        </w:rPr>
      </w:pPr>
      <w:r>
        <w:rPr>
          <w:rFonts w:ascii="Arial" w:hAnsi="Arial" w:cs="Arial"/>
          <w:b/>
          <w:bCs/>
          <w:sz w:val="24"/>
          <w:szCs w:val="24"/>
        </w:rPr>
        <w:t>11 May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6A0078">
        <w:rPr>
          <w:rFonts w:ascii="Arial" w:hAnsi="Arial" w:cs="Arial"/>
          <w:b/>
          <w:bCs/>
          <w:sz w:val="24"/>
          <w:szCs w:val="24"/>
        </w:rPr>
        <w:t xml:space="preserve">Pharmacy VTC Room, Scunthorpe General Hospital vtc to </w:t>
      </w:r>
      <w:r w:rsidR="00031EC4">
        <w:rPr>
          <w:rFonts w:ascii="Arial" w:hAnsi="Arial" w:cs="Arial"/>
          <w:b/>
          <w:bCs/>
          <w:sz w:val="24"/>
          <w:szCs w:val="24"/>
        </w:rPr>
        <w:t>Main Meeting Room</w:t>
      </w:r>
      <w:r w:rsidR="006A0078">
        <w:rPr>
          <w:rFonts w:ascii="Arial" w:hAnsi="Arial" w:cs="Arial"/>
          <w:b/>
          <w:bCs/>
          <w:sz w:val="24"/>
          <w:szCs w:val="24"/>
        </w:rPr>
        <w:t>, Freshney Green</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t>In Attendance</w:t>
      </w:r>
    </w:p>
    <w:p w:rsidR="009B631F" w:rsidRDefault="009B631F" w:rsidP="00937929">
      <w:pPr>
        <w:pStyle w:val="NoSpacing"/>
        <w:spacing w:line="276" w:lineRule="auto"/>
        <w:jc w:val="both"/>
        <w:rPr>
          <w:rFonts w:ascii="Arial" w:hAnsi="Arial" w:cs="Arial"/>
          <w:bCs/>
          <w:sz w:val="20"/>
          <w:szCs w:val="20"/>
        </w:rPr>
      </w:pPr>
    </w:p>
    <w:p w:rsidR="006A0078" w:rsidRPr="0088032D" w:rsidRDefault="006A0078" w:rsidP="006A0078">
      <w:pPr>
        <w:pStyle w:val="NoSpacing"/>
        <w:spacing w:line="276" w:lineRule="auto"/>
        <w:jc w:val="both"/>
        <w:rPr>
          <w:rFonts w:ascii="Arial" w:hAnsi="Arial" w:cs="Arial"/>
        </w:rPr>
      </w:pPr>
      <w:r w:rsidRPr="0088032D">
        <w:rPr>
          <w:rFonts w:ascii="Arial" w:hAnsi="Arial" w:cs="Arial"/>
        </w:rPr>
        <w:t>Paul Fieldhouse (PF) -  Chief Pharmacist &amp; Clinical Lead for Medicines Optimisation (NLaG) (Chair)</w:t>
      </w:r>
    </w:p>
    <w:p w:rsidR="002F2E74" w:rsidRPr="0088032D" w:rsidRDefault="002F2E74" w:rsidP="002F2E74">
      <w:pPr>
        <w:pStyle w:val="NoSpacing"/>
        <w:spacing w:line="276" w:lineRule="auto"/>
        <w:jc w:val="both"/>
        <w:rPr>
          <w:rFonts w:ascii="Arial" w:hAnsi="Arial" w:cs="Arial"/>
        </w:rPr>
      </w:pPr>
      <w:r w:rsidRPr="0088032D">
        <w:rPr>
          <w:rFonts w:ascii="Arial" w:hAnsi="Arial" w:cs="Arial"/>
        </w:rPr>
        <w:t xml:space="preserve">Jim Devlin (JD) – Medicines and Therapeutics Committee Chairman (NLaG) </w:t>
      </w:r>
    </w:p>
    <w:p w:rsidR="002F2E74" w:rsidRPr="0088032D" w:rsidRDefault="002F2E74" w:rsidP="002F2E74">
      <w:pPr>
        <w:pStyle w:val="NoSpacing"/>
        <w:spacing w:line="276" w:lineRule="auto"/>
        <w:jc w:val="both"/>
        <w:rPr>
          <w:rFonts w:ascii="Arial" w:hAnsi="Arial" w:cs="Arial"/>
        </w:rPr>
      </w:pPr>
      <w:r w:rsidRPr="0088032D">
        <w:rPr>
          <w:rFonts w:ascii="Arial" w:hAnsi="Arial" w:cs="Arial"/>
        </w:rPr>
        <w:t>Dr Chathley, General Practitioner (North East Lincs)</w:t>
      </w:r>
    </w:p>
    <w:p w:rsidR="006965B0" w:rsidRPr="0088032D" w:rsidRDefault="006A0078" w:rsidP="006A0078">
      <w:pPr>
        <w:pStyle w:val="NoSpacing"/>
        <w:jc w:val="both"/>
        <w:rPr>
          <w:rFonts w:ascii="Arial" w:hAnsi="Arial" w:cs="Arial"/>
        </w:rPr>
      </w:pPr>
      <w:r w:rsidRPr="0088032D">
        <w:rPr>
          <w:rFonts w:ascii="Arial" w:hAnsi="Arial" w:cs="Arial"/>
        </w:rPr>
        <w:t>Paulash Haider (PH) - Procurement Pharmacist (NLaG)</w:t>
      </w:r>
    </w:p>
    <w:p w:rsidR="002F2E74" w:rsidRPr="0088032D" w:rsidRDefault="006965B0" w:rsidP="006A0078">
      <w:pPr>
        <w:pStyle w:val="NoSpacing"/>
        <w:jc w:val="both"/>
        <w:rPr>
          <w:rFonts w:ascii="Arial" w:hAnsi="Arial" w:cs="Arial"/>
        </w:rPr>
      </w:pPr>
      <w:r w:rsidRPr="0088032D">
        <w:rPr>
          <w:rFonts w:ascii="Arial" w:hAnsi="Arial" w:cs="Arial"/>
        </w:rPr>
        <w:t xml:space="preserve">John Harper (JH) – Care Plus Group </w:t>
      </w:r>
    </w:p>
    <w:p w:rsidR="002F2E74" w:rsidRPr="0088032D" w:rsidRDefault="002F2E74" w:rsidP="002F2E74">
      <w:pPr>
        <w:pStyle w:val="NoSpacing"/>
        <w:jc w:val="both"/>
        <w:rPr>
          <w:rFonts w:ascii="Arial" w:hAnsi="Arial" w:cs="Arial"/>
        </w:rPr>
      </w:pPr>
      <w:r w:rsidRPr="0088032D">
        <w:rPr>
          <w:rFonts w:ascii="Arial" w:hAnsi="Arial" w:cs="Arial"/>
        </w:rPr>
        <w:t>Margaret Henry</w:t>
      </w:r>
      <w:r w:rsidR="0088032D">
        <w:rPr>
          <w:rFonts w:ascii="Arial" w:hAnsi="Arial" w:cs="Arial"/>
        </w:rPr>
        <w:t xml:space="preserve"> (MH) -</w:t>
      </w:r>
      <w:r w:rsidRPr="0088032D">
        <w:rPr>
          <w:rFonts w:ascii="Arial" w:hAnsi="Arial" w:cs="Arial"/>
        </w:rPr>
        <w:t xml:space="preserve"> North East Lincolnshire Community Representative for Prescribing</w:t>
      </w:r>
    </w:p>
    <w:p w:rsidR="00142C86" w:rsidRPr="0088032D" w:rsidRDefault="00142C86" w:rsidP="00142C86">
      <w:pPr>
        <w:pStyle w:val="NoSpacing"/>
        <w:spacing w:line="276" w:lineRule="auto"/>
        <w:jc w:val="both"/>
        <w:rPr>
          <w:rFonts w:ascii="Arial" w:hAnsi="Arial" w:cs="Arial"/>
        </w:rPr>
      </w:pPr>
      <w:r w:rsidRPr="0088032D">
        <w:rPr>
          <w:rFonts w:ascii="Arial" w:hAnsi="Arial" w:cs="Arial"/>
        </w:rPr>
        <w:t xml:space="preserve">Andy Karvot (AK) – Consultant Pharmacist Antimicrobials (NLaG) </w:t>
      </w:r>
    </w:p>
    <w:p w:rsidR="009B631F" w:rsidRPr="0088032D" w:rsidRDefault="009B631F" w:rsidP="006A0078">
      <w:pPr>
        <w:pStyle w:val="NoSpacing"/>
        <w:spacing w:line="276" w:lineRule="auto"/>
        <w:jc w:val="both"/>
        <w:rPr>
          <w:rFonts w:ascii="Arial" w:hAnsi="Arial" w:cs="Arial"/>
        </w:rPr>
      </w:pPr>
      <w:r w:rsidRPr="0088032D">
        <w:rPr>
          <w:rFonts w:ascii="Arial" w:hAnsi="Arial" w:cs="Arial"/>
        </w:rPr>
        <w:t xml:space="preserve">Miss G Kaur (GK) – Consultant </w:t>
      </w:r>
      <w:r w:rsidR="0088032D" w:rsidRPr="0088032D">
        <w:rPr>
          <w:rFonts w:ascii="Arial" w:hAnsi="Arial" w:cs="Arial"/>
        </w:rPr>
        <w:t>Surgeon</w:t>
      </w:r>
    </w:p>
    <w:p w:rsidR="006A0078" w:rsidRPr="0088032D" w:rsidRDefault="00DE64FA" w:rsidP="006A0078">
      <w:pPr>
        <w:pStyle w:val="NoSpacing"/>
        <w:spacing w:line="276" w:lineRule="auto"/>
        <w:jc w:val="both"/>
        <w:rPr>
          <w:rFonts w:ascii="Arial" w:hAnsi="Arial" w:cs="Arial"/>
        </w:rPr>
      </w:pPr>
      <w:r w:rsidRPr="0088032D">
        <w:rPr>
          <w:rFonts w:ascii="Arial" w:hAnsi="Arial" w:cs="Arial"/>
        </w:rPr>
        <w:t xml:space="preserve">Gemma McNally (GM) – Strategic Lead Pharmacist (NECS) </w:t>
      </w:r>
      <w:r w:rsidRPr="0088032D">
        <w:rPr>
          <w:rFonts w:ascii="Arial" w:hAnsi="Arial" w:cs="Arial"/>
        </w:rPr>
        <w:tab/>
      </w:r>
      <w:r w:rsidR="006A0078" w:rsidRPr="0088032D">
        <w:rPr>
          <w:rFonts w:ascii="Arial" w:hAnsi="Arial" w:cs="Arial"/>
        </w:rPr>
        <w:t xml:space="preserve"> </w:t>
      </w:r>
    </w:p>
    <w:p w:rsidR="002F2E74" w:rsidRPr="0088032D" w:rsidRDefault="002F2E74" w:rsidP="002F2E74">
      <w:pPr>
        <w:pStyle w:val="NoSpacing"/>
        <w:spacing w:line="276" w:lineRule="auto"/>
        <w:jc w:val="both"/>
        <w:rPr>
          <w:rFonts w:ascii="Arial" w:hAnsi="Arial" w:cs="Arial"/>
        </w:rPr>
      </w:pPr>
      <w:r w:rsidRPr="0088032D">
        <w:rPr>
          <w:rFonts w:ascii="Arial" w:hAnsi="Arial" w:cs="Arial"/>
        </w:rPr>
        <w:t>Dr Ramesh, General Practitioner (North East Lincs)</w:t>
      </w:r>
    </w:p>
    <w:p w:rsidR="002F2E74" w:rsidRPr="0088032D" w:rsidRDefault="002F2E74" w:rsidP="002F2E74">
      <w:pPr>
        <w:pStyle w:val="NoSpacing"/>
        <w:spacing w:line="276" w:lineRule="auto"/>
        <w:jc w:val="both"/>
        <w:rPr>
          <w:rFonts w:ascii="Arial" w:hAnsi="Arial" w:cs="Arial"/>
        </w:rPr>
      </w:pPr>
      <w:r w:rsidRPr="0088032D">
        <w:rPr>
          <w:rFonts w:ascii="Arial" w:hAnsi="Arial" w:cs="Arial"/>
        </w:rPr>
        <w:t>Dr Neveen Samuel (NS) – Prescribing Lead for North Lincolnshire CCG</w:t>
      </w:r>
    </w:p>
    <w:p w:rsidR="002F2E74" w:rsidRPr="0088032D" w:rsidRDefault="002F2E74" w:rsidP="002F2E74">
      <w:pPr>
        <w:pStyle w:val="NoSpacing"/>
        <w:spacing w:line="276" w:lineRule="auto"/>
        <w:jc w:val="both"/>
        <w:rPr>
          <w:rFonts w:ascii="Arial" w:hAnsi="Arial" w:cs="Arial"/>
        </w:rPr>
      </w:pPr>
      <w:r w:rsidRPr="0088032D">
        <w:rPr>
          <w:rFonts w:ascii="Arial" w:hAnsi="Arial" w:cs="Arial"/>
        </w:rPr>
        <w:t>Sarah Spooner (SS) – Clinical Lead Care Plus Group</w:t>
      </w:r>
      <w:r w:rsidRPr="0088032D">
        <w:rPr>
          <w:rFonts w:ascii="Arial" w:hAnsi="Arial" w:cs="Arial"/>
        </w:rPr>
        <w:tab/>
      </w:r>
    </w:p>
    <w:p w:rsidR="006A0078" w:rsidRPr="0088032D" w:rsidRDefault="006A0078" w:rsidP="006A0078">
      <w:pPr>
        <w:pStyle w:val="NoSpacing"/>
        <w:spacing w:line="276" w:lineRule="auto"/>
        <w:jc w:val="both"/>
        <w:rPr>
          <w:rFonts w:ascii="Arial" w:hAnsi="Arial" w:cs="Arial"/>
        </w:rPr>
      </w:pPr>
      <w:r w:rsidRPr="0088032D">
        <w:rPr>
          <w:rFonts w:ascii="Arial" w:hAnsi="Arial" w:cs="Arial"/>
        </w:rPr>
        <w:t>Hazel Tait (HT) -  Assistant Contracts Manager (NLaG)</w:t>
      </w:r>
      <w:r w:rsidRPr="0088032D">
        <w:tab/>
      </w:r>
    </w:p>
    <w:p w:rsidR="00766E20" w:rsidRPr="0088032D" w:rsidRDefault="009B631F" w:rsidP="00937929">
      <w:pPr>
        <w:pStyle w:val="NoSpacing"/>
        <w:spacing w:line="276" w:lineRule="auto"/>
        <w:jc w:val="both"/>
        <w:rPr>
          <w:rFonts w:ascii="Arial" w:hAnsi="Arial" w:cs="Arial"/>
          <w:bCs/>
        </w:rPr>
      </w:pPr>
      <w:r w:rsidRPr="0088032D">
        <w:rPr>
          <w:rFonts w:ascii="Arial" w:hAnsi="Arial" w:cs="Arial"/>
          <w:bCs/>
        </w:rPr>
        <w:t>Mrs Aliya Turk (AT) – Professional Secretary APC</w:t>
      </w:r>
    </w:p>
    <w:p w:rsidR="009B631F" w:rsidRDefault="009B631F"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Pr="006A0078" w:rsidRDefault="006A0078" w:rsidP="000F7B04">
      <w:pPr>
        <w:pStyle w:val="NoSpacing"/>
        <w:rPr>
          <w:rFonts w:ascii="Arial" w:hAnsi="Arial" w:cs="Arial"/>
        </w:rPr>
      </w:pPr>
      <w:r>
        <w:rPr>
          <w:rFonts w:ascii="Arial" w:hAnsi="Arial" w:cs="Arial"/>
        </w:rPr>
        <w:t>Joanne Rowson, Pharmacy Secretary (NLaG)</w:t>
      </w:r>
    </w:p>
    <w:p w:rsidR="006A0078" w:rsidRPr="009B631F" w:rsidRDefault="009B631F" w:rsidP="000F7B04">
      <w:pPr>
        <w:pStyle w:val="NoSpacing"/>
        <w:rPr>
          <w:rFonts w:ascii="Arial" w:hAnsi="Arial" w:cs="Arial"/>
        </w:rPr>
      </w:pPr>
      <w:r w:rsidRPr="009B631F">
        <w:rPr>
          <w:rFonts w:ascii="Arial" w:hAnsi="Arial" w:cs="Arial"/>
        </w:rPr>
        <w:t>Dr Dadiras, Consultant Rheumatologist – attended for item 7ii</w:t>
      </w:r>
    </w:p>
    <w:p w:rsidR="009B631F" w:rsidRDefault="009B631F"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88032D" w:rsidRDefault="0088032D" w:rsidP="00766E20">
      <w:pPr>
        <w:pStyle w:val="NoSpacing"/>
        <w:spacing w:line="276" w:lineRule="auto"/>
        <w:jc w:val="both"/>
        <w:rPr>
          <w:rFonts w:ascii="Arial" w:hAnsi="Arial" w:cs="Arial"/>
        </w:rPr>
      </w:pPr>
    </w:p>
    <w:p w:rsidR="00766E20" w:rsidRPr="0088032D" w:rsidRDefault="001D145F" w:rsidP="00766E20">
      <w:pPr>
        <w:pStyle w:val="NoSpacing"/>
        <w:spacing w:line="276" w:lineRule="auto"/>
        <w:jc w:val="both"/>
        <w:rPr>
          <w:rFonts w:ascii="Arial" w:hAnsi="Arial" w:cs="Arial"/>
        </w:rPr>
      </w:pPr>
      <w:r w:rsidRPr="0088032D">
        <w:rPr>
          <w:rFonts w:ascii="Arial" w:hAnsi="Arial" w:cs="Arial"/>
        </w:rPr>
        <w:t xml:space="preserve">Elizabeth Barron (EB) </w:t>
      </w:r>
      <w:r w:rsidR="00522B94" w:rsidRPr="0088032D">
        <w:rPr>
          <w:rFonts w:ascii="Arial" w:hAnsi="Arial" w:cs="Arial"/>
        </w:rPr>
        <w:t>–</w:t>
      </w:r>
      <w:r w:rsidRPr="0088032D">
        <w:rPr>
          <w:rFonts w:ascii="Arial" w:hAnsi="Arial" w:cs="Arial"/>
        </w:rPr>
        <w:t xml:space="preserve"> R</w:t>
      </w:r>
      <w:r w:rsidR="00582C5C" w:rsidRPr="0088032D">
        <w:rPr>
          <w:rFonts w:ascii="Arial" w:hAnsi="Arial" w:cs="Arial"/>
        </w:rPr>
        <w:t>D</w:t>
      </w:r>
      <w:r w:rsidRPr="0088032D">
        <w:rPr>
          <w:rFonts w:ascii="Arial" w:hAnsi="Arial" w:cs="Arial"/>
        </w:rPr>
        <w:t>ash</w:t>
      </w:r>
    </w:p>
    <w:p w:rsidR="00574951" w:rsidRPr="0088032D" w:rsidRDefault="00574951" w:rsidP="00766E20">
      <w:pPr>
        <w:pStyle w:val="NoSpacing"/>
        <w:spacing w:line="276" w:lineRule="auto"/>
        <w:jc w:val="both"/>
        <w:rPr>
          <w:rFonts w:ascii="Arial" w:hAnsi="Arial" w:cs="Arial"/>
        </w:rPr>
      </w:pPr>
      <w:r w:rsidRPr="0088032D">
        <w:rPr>
          <w:rFonts w:ascii="Arial" w:hAnsi="Arial" w:cs="Arial"/>
        </w:rPr>
        <w:t>Mr Stuart Goddard (SG) – Head of Contracts &amp; Provider Management (NLCCG)</w:t>
      </w:r>
    </w:p>
    <w:p w:rsidR="00766E20" w:rsidRPr="0088032D" w:rsidRDefault="00766E20" w:rsidP="00766E20">
      <w:pPr>
        <w:pStyle w:val="NoSpacing"/>
        <w:spacing w:line="276" w:lineRule="auto"/>
        <w:jc w:val="both"/>
        <w:rPr>
          <w:rFonts w:ascii="Arial" w:hAnsi="Arial" w:cs="Arial"/>
        </w:rPr>
      </w:pPr>
      <w:r w:rsidRPr="0088032D">
        <w:rPr>
          <w:rFonts w:ascii="Arial" w:hAnsi="Arial" w:cs="Arial"/>
        </w:rPr>
        <w:t>Dr Kasaraneni</w:t>
      </w:r>
      <w:r w:rsidR="00582C5C" w:rsidRPr="0088032D">
        <w:rPr>
          <w:rFonts w:ascii="Arial" w:hAnsi="Arial" w:cs="Arial"/>
        </w:rPr>
        <w:t xml:space="preserve"> (KK)</w:t>
      </w:r>
      <w:r w:rsidRPr="0088032D">
        <w:rPr>
          <w:rFonts w:ascii="Arial" w:hAnsi="Arial" w:cs="Arial"/>
        </w:rPr>
        <w:t xml:space="preserve"> </w:t>
      </w:r>
      <w:r w:rsidR="00E07142" w:rsidRPr="0088032D">
        <w:rPr>
          <w:rFonts w:ascii="Arial" w:hAnsi="Arial" w:cs="Arial"/>
        </w:rPr>
        <w:t>–</w:t>
      </w:r>
      <w:r w:rsidRPr="0088032D">
        <w:rPr>
          <w:rFonts w:ascii="Arial" w:hAnsi="Arial" w:cs="Arial"/>
        </w:rPr>
        <w:t xml:space="preserve"> L</w:t>
      </w:r>
      <w:r w:rsidR="00E07142" w:rsidRPr="0088032D">
        <w:rPr>
          <w:rFonts w:ascii="Arial" w:hAnsi="Arial" w:cs="Arial"/>
        </w:rPr>
        <w:t xml:space="preserve">ocal </w:t>
      </w:r>
      <w:r w:rsidRPr="0088032D">
        <w:rPr>
          <w:rFonts w:ascii="Arial" w:hAnsi="Arial" w:cs="Arial"/>
        </w:rPr>
        <w:t>M</w:t>
      </w:r>
      <w:r w:rsidR="00E07142" w:rsidRPr="0088032D">
        <w:rPr>
          <w:rFonts w:ascii="Arial" w:hAnsi="Arial" w:cs="Arial"/>
        </w:rPr>
        <w:t xml:space="preserve">edical </w:t>
      </w:r>
      <w:r w:rsidRPr="0088032D">
        <w:rPr>
          <w:rFonts w:ascii="Arial" w:hAnsi="Arial" w:cs="Arial"/>
        </w:rPr>
        <w:t>C</w:t>
      </w:r>
      <w:r w:rsidR="00E07142" w:rsidRPr="0088032D">
        <w:rPr>
          <w:rFonts w:ascii="Arial" w:hAnsi="Arial" w:cs="Arial"/>
        </w:rPr>
        <w:t>ommittee</w:t>
      </w:r>
    </w:p>
    <w:p w:rsidR="00142C86" w:rsidRPr="0088032D" w:rsidRDefault="00142C86" w:rsidP="00142C86">
      <w:pPr>
        <w:pStyle w:val="NoSpacing"/>
        <w:spacing w:line="276" w:lineRule="auto"/>
        <w:jc w:val="both"/>
        <w:rPr>
          <w:rFonts w:ascii="Arial" w:hAnsi="Arial" w:cs="Arial"/>
        </w:rPr>
      </w:pPr>
      <w:r w:rsidRPr="0088032D">
        <w:rPr>
          <w:rFonts w:ascii="Arial" w:hAnsi="Arial" w:cs="Arial"/>
        </w:rPr>
        <w:t>Rachel Staniforth (RS) – Senior Pharmacist, North East Lincolnshire (NECS)</w:t>
      </w:r>
    </w:p>
    <w:p w:rsidR="00142C86" w:rsidRPr="00BF6C04" w:rsidRDefault="00142C86" w:rsidP="00766E20">
      <w:pPr>
        <w:pStyle w:val="NoSpacing"/>
        <w:spacing w:line="276" w:lineRule="auto"/>
        <w:jc w:val="both"/>
        <w:rPr>
          <w:rFonts w:ascii="Arial" w:hAnsi="Arial" w:cs="Arial"/>
          <w:i/>
        </w:rPr>
      </w:pPr>
    </w:p>
    <w:p w:rsidR="000F7B04" w:rsidRPr="00715616" w:rsidRDefault="000F7B04" w:rsidP="000F7B04">
      <w:pPr>
        <w:pStyle w:val="NoSpacing"/>
        <w:jc w:val="both"/>
        <w:rPr>
          <w:rFonts w:ascii="Arial" w:hAnsi="Arial" w:cs="Arial"/>
          <w:shd w:val="clear" w:color="auto" w:fill="FFFF00"/>
        </w:rPr>
      </w:pPr>
      <w:r w:rsidRPr="00715616">
        <w:rPr>
          <w:rFonts w:ascii="Arial" w:hAnsi="Arial" w:cs="Arial"/>
          <w:b/>
        </w:rPr>
        <w:t>3</w:t>
      </w:r>
      <w:r w:rsidRPr="00715616">
        <w:rPr>
          <w:rFonts w:ascii="Arial" w:hAnsi="Arial" w:cs="Arial"/>
          <w:b/>
        </w:rPr>
        <w:tab/>
      </w: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Default="00C05D4B" w:rsidP="000F7B04">
      <w:pPr>
        <w:pStyle w:val="NoSpacing"/>
        <w:jc w:val="both"/>
        <w:rPr>
          <w:rFonts w:ascii="Arial" w:hAnsi="Arial" w:cs="Arial"/>
          <w:b/>
        </w:rPr>
      </w:pPr>
      <w:r>
        <w:rPr>
          <w:rFonts w:ascii="Arial" w:hAnsi="Arial" w:cs="Arial"/>
          <w:b/>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Default="004847EC" w:rsidP="00FD36B8">
      <w:pPr>
        <w:pStyle w:val="NoSpacing"/>
        <w:jc w:val="both"/>
        <w:rPr>
          <w:rFonts w:ascii="Arial" w:hAnsi="Arial" w:cs="Arial"/>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6965B0">
        <w:rPr>
          <w:rFonts w:ascii="Arial" w:hAnsi="Arial" w:cs="Arial"/>
        </w:rPr>
        <w:t xml:space="preserve">9 </w:t>
      </w:r>
      <w:r w:rsidR="00BF6C04">
        <w:rPr>
          <w:rFonts w:ascii="Arial" w:hAnsi="Arial" w:cs="Arial"/>
        </w:rPr>
        <w:t>March</w:t>
      </w:r>
      <w:r w:rsidR="006A0078">
        <w:rPr>
          <w:rFonts w:ascii="Arial" w:hAnsi="Arial" w:cs="Arial"/>
        </w:rPr>
        <w:t xml:space="preserve"> 2017</w:t>
      </w:r>
      <w:r w:rsidRPr="00715616">
        <w:rPr>
          <w:rFonts w:ascii="Arial" w:hAnsi="Arial" w:cs="Arial"/>
        </w:rPr>
        <w:t xml:space="preserve"> were taken as read and accepted as a true recor</w:t>
      </w:r>
      <w:r>
        <w:rPr>
          <w:rFonts w:ascii="Arial" w:hAnsi="Arial" w:cs="Arial"/>
        </w:rPr>
        <w:t>d.</w:t>
      </w:r>
      <w:r w:rsidR="00F967ED">
        <w:rPr>
          <w:rFonts w:ascii="Arial" w:hAnsi="Arial" w:cs="Arial"/>
        </w:rPr>
        <w:t xml:space="preserve">   </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93FC5" w:rsidRDefault="00295394" w:rsidP="00BF6C04">
      <w:pPr>
        <w:pStyle w:val="NoSpacing"/>
        <w:numPr>
          <w:ilvl w:val="0"/>
          <w:numId w:val="13"/>
        </w:numPr>
        <w:jc w:val="both"/>
        <w:rPr>
          <w:rFonts w:ascii="Arial" w:hAnsi="Arial" w:cs="Arial"/>
        </w:rPr>
      </w:pPr>
      <w:r w:rsidRPr="00FD36B8">
        <w:rPr>
          <w:rFonts w:ascii="Arial" w:hAnsi="Arial" w:cs="Arial"/>
          <w:u w:val="single"/>
        </w:rPr>
        <w:t>Professional Secretary Update</w:t>
      </w:r>
      <w:r w:rsidR="00F82876" w:rsidRPr="00FD36B8">
        <w:rPr>
          <w:rFonts w:ascii="Arial" w:hAnsi="Arial" w:cs="Arial"/>
        </w:rPr>
        <w:t xml:space="preserve"> –</w:t>
      </w:r>
      <w:r w:rsidR="00EA1C48">
        <w:rPr>
          <w:rFonts w:ascii="Arial" w:hAnsi="Arial" w:cs="Arial"/>
        </w:rPr>
        <w:t xml:space="preserve"> Aliya Turk was introduced to the members present.  </w:t>
      </w:r>
    </w:p>
    <w:p w:rsidR="00BF6C04" w:rsidRPr="00FD36B8" w:rsidRDefault="00BF6C04" w:rsidP="00BF6C04">
      <w:pPr>
        <w:pStyle w:val="NoSpacing"/>
        <w:ind w:left="720"/>
        <w:jc w:val="both"/>
        <w:rPr>
          <w:rFonts w:ascii="Arial" w:hAnsi="Arial" w:cs="Arial"/>
        </w:rPr>
      </w:pPr>
    </w:p>
    <w:p w:rsidR="00393FC5" w:rsidRPr="009D707C" w:rsidRDefault="003A6557" w:rsidP="002B1167">
      <w:pPr>
        <w:pStyle w:val="NoSpacing"/>
        <w:numPr>
          <w:ilvl w:val="0"/>
          <w:numId w:val="13"/>
        </w:numPr>
        <w:jc w:val="both"/>
        <w:rPr>
          <w:rFonts w:ascii="Arial" w:hAnsi="Arial" w:cs="Arial"/>
        </w:rPr>
      </w:pPr>
      <w:r w:rsidRPr="009D707C">
        <w:rPr>
          <w:rFonts w:ascii="Arial" w:hAnsi="Arial" w:cs="Arial"/>
          <w:u w:val="single"/>
        </w:rPr>
        <w:t>Emollient Recommendations</w:t>
      </w:r>
      <w:r w:rsidRPr="009D707C">
        <w:rPr>
          <w:rFonts w:ascii="Arial" w:hAnsi="Arial" w:cs="Arial"/>
        </w:rPr>
        <w:t xml:space="preserve"> –</w:t>
      </w:r>
      <w:r w:rsidR="00EA1C48">
        <w:rPr>
          <w:rFonts w:ascii="Arial" w:hAnsi="Arial" w:cs="Arial"/>
        </w:rPr>
        <w:t xml:space="preserve"> GMc repo</w:t>
      </w:r>
      <w:r w:rsidR="00113955">
        <w:rPr>
          <w:rFonts w:ascii="Arial" w:hAnsi="Arial" w:cs="Arial"/>
        </w:rPr>
        <w:t xml:space="preserve">rted that this has been delayed. </w:t>
      </w:r>
      <w:r w:rsidR="00113955" w:rsidRPr="00E34F35">
        <w:rPr>
          <w:rFonts w:ascii="Arial" w:hAnsi="Arial" w:cs="Arial"/>
          <w:b/>
        </w:rPr>
        <w:t xml:space="preserve">Post meeting note: Remove from agenda and will pick this up with </w:t>
      </w:r>
      <w:r w:rsidR="00B04065" w:rsidRPr="00E34F35">
        <w:rPr>
          <w:rFonts w:ascii="Arial" w:hAnsi="Arial" w:cs="Arial"/>
          <w:b/>
        </w:rPr>
        <w:t>Chapter</w:t>
      </w:r>
      <w:r w:rsidR="00113955" w:rsidRPr="00E34F35">
        <w:rPr>
          <w:rFonts w:ascii="Arial" w:hAnsi="Arial" w:cs="Arial"/>
          <w:b/>
        </w:rPr>
        <w:t xml:space="preserve"> 10 Review</w:t>
      </w:r>
      <w:r w:rsidR="00113955">
        <w:rPr>
          <w:rFonts w:ascii="Arial" w:hAnsi="Arial" w:cs="Arial"/>
        </w:rPr>
        <w:t>.</w:t>
      </w:r>
    </w:p>
    <w:p w:rsidR="00F71EEE" w:rsidRDefault="00F71EEE">
      <w:pPr>
        <w:suppressAutoHyphens w:val="0"/>
        <w:spacing w:line="240" w:lineRule="auto"/>
      </w:pPr>
      <w:r>
        <w:br w:type="page"/>
      </w:r>
      <w:bookmarkStart w:id="0" w:name="_GoBack"/>
      <w:bookmarkEnd w:id="0"/>
    </w:p>
    <w:p w:rsidR="006A0078" w:rsidRPr="006A0078" w:rsidRDefault="006A0078" w:rsidP="002B1167">
      <w:pPr>
        <w:pStyle w:val="ListParagraph"/>
      </w:pPr>
    </w:p>
    <w:p w:rsidR="00BF6C04" w:rsidRPr="00BF6C04" w:rsidRDefault="006A0078" w:rsidP="00BF6C04">
      <w:pPr>
        <w:pStyle w:val="ListParagraph"/>
        <w:numPr>
          <w:ilvl w:val="0"/>
          <w:numId w:val="13"/>
        </w:numPr>
        <w:rPr>
          <w:sz w:val="22"/>
          <w:szCs w:val="22"/>
        </w:rPr>
      </w:pPr>
      <w:r w:rsidRPr="00785133">
        <w:rPr>
          <w:sz w:val="22"/>
          <w:szCs w:val="22"/>
          <w:u w:val="single"/>
        </w:rPr>
        <w:t>Updates to Primary Care Anti</w:t>
      </w:r>
      <w:r w:rsidR="00113955">
        <w:rPr>
          <w:sz w:val="22"/>
          <w:szCs w:val="22"/>
          <w:u w:val="single"/>
        </w:rPr>
        <w:t>microbial</w:t>
      </w:r>
      <w:r w:rsidRPr="00785133">
        <w:rPr>
          <w:sz w:val="22"/>
          <w:szCs w:val="22"/>
          <w:u w:val="single"/>
        </w:rPr>
        <w:t xml:space="preserve"> Guidance</w:t>
      </w:r>
      <w:r w:rsidR="00F8726F" w:rsidRPr="00BF6C04">
        <w:t xml:space="preserve"> </w:t>
      </w:r>
      <w:r w:rsidR="00653070" w:rsidRPr="00BF6C04">
        <w:t xml:space="preserve"> </w:t>
      </w:r>
    </w:p>
    <w:p w:rsidR="007926FF" w:rsidRPr="00062792" w:rsidRDefault="007926FF" w:rsidP="009D707C">
      <w:pPr>
        <w:ind w:left="720"/>
        <w:rPr>
          <w:i/>
          <w:sz w:val="22"/>
          <w:szCs w:val="22"/>
        </w:rPr>
      </w:pPr>
    </w:p>
    <w:p w:rsidR="007E1848" w:rsidRDefault="007E1848" w:rsidP="00062792">
      <w:pPr>
        <w:pStyle w:val="NoSpacing"/>
        <w:ind w:left="720"/>
        <w:jc w:val="both"/>
        <w:rPr>
          <w:rFonts w:ascii="Arial" w:hAnsi="Arial" w:cs="Arial"/>
        </w:rPr>
      </w:pPr>
      <w:r w:rsidRPr="00765830">
        <w:rPr>
          <w:rFonts w:ascii="Arial" w:hAnsi="Arial" w:cs="Arial"/>
          <w:u w:val="single"/>
        </w:rPr>
        <w:t>Methenamine Hippurate</w:t>
      </w:r>
      <w:r>
        <w:rPr>
          <w:rFonts w:ascii="Arial" w:hAnsi="Arial" w:cs="Arial"/>
        </w:rPr>
        <w:t xml:space="preserve"> –</w:t>
      </w:r>
      <w:r w:rsidR="005832F4">
        <w:rPr>
          <w:rFonts w:ascii="Arial" w:hAnsi="Arial" w:cs="Arial"/>
        </w:rPr>
        <w:t xml:space="preserve"> new line request submitted by Andy Karvot but sponsored by Peter Cowling, Consultant Microbiologist. Evidence is somewhat weak but was considered in a Cochrane review which concluded that ‘ Methenamine hippurate may be effective in presenting UTI in pati</w:t>
      </w:r>
      <w:r w:rsidR="00D20B1C">
        <w:rPr>
          <w:rFonts w:ascii="Arial" w:hAnsi="Arial" w:cs="Arial"/>
        </w:rPr>
        <w:t>ents</w:t>
      </w:r>
      <w:r w:rsidR="005832F4">
        <w:rPr>
          <w:rFonts w:ascii="Arial" w:hAnsi="Arial" w:cs="Arial"/>
        </w:rPr>
        <w:t xml:space="preserve"> without renal tract abnormalities, particularly when used for short term prophylaxis.  It does not appear to work in patients with neuropathic bladder or inpatients who have renal tract abnormalities. The rate of adverse events was low, but poorly described.  There is a need for further well conducted RCTs to </w:t>
      </w:r>
      <w:r w:rsidR="00B04065">
        <w:rPr>
          <w:rFonts w:ascii="Arial" w:hAnsi="Arial" w:cs="Arial"/>
        </w:rPr>
        <w:t>clarify</w:t>
      </w:r>
      <w:r w:rsidR="005832F4">
        <w:rPr>
          <w:rFonts w:ascii="Arial" w:hAnsi="Arial" w:cs="Arial"/>
        </w:rPr>
        <w:t xml:space="preserve"> this question, particularly for longer term use for people without neuropathic bladder”.  It was thought </w:t>
      </w:r>
      <w:r w:rsidR="00B04065">
        <w:rPr>
          <w:rFonts w:ascii="Arial" w:hAnsi="Arial" w:cs="Arial"/>
        </w:rPr>
        <w:t>that</w:t>
      </w:r>
      <w:r w:rsidR="005832F4">
        <w:rPr>
          <w:rFonts w:ascii="Arial" w:hAnsi="Arial" w:cs="Arial"/>
        </w:rPr>
        <w:t xml:space="preserve"> this might be an option in non-pregnant patients where all other modalities have failed.  JD thought that evidence was not strong but if it was used instead of a long term prophylaxis antibiotic.  </w:t>
      </w:r>
      <w:r w:rsidR="00B04065">
        <w:rPr>
          <w:rFonts w:ascii="Arial" w:hAnsi="Arial" w:cs="Arial"/>
        </w:rPr>
        <w:t>A month’s</w:t>
      </w:r>
      <w:r w:rsidR="005832F4">
        <w:rPr>
          <w:rFonts w:ascii="Arial" w:hAnsi="Arial" w:cs="Arial"/>
        </w:rPr>
        <w:t xml:space="preserve"> course was £90.  </w:t>
      </w:r>
      <w:r w:rsidR="00113955">
        <w:rPr>
          <w:rFonts w:ascii="Arial" w:hAnsi="Arial" w:cs="Arial"/>
        </w:rPr>
        <w:t xml:space="preserve">SIGN guidance advices </w:t>
      </w:r>
      <w:r w:rsidR="00113955" w:rsidRPr="00113955">
        <w:rPr>
          <w:rFonts w:ascii="Arial" w:hAnsi="Arial" w:cs="Arial"/>
        </w:rPr>
        <w:t>Methenamine may be effective for short term prophylaxis in patients without renal tract abnormalities</w:t>
      </w:r>
      <w:r w:rsidR="00113955">
        <w:rPr>
          <w:rFonts w:ascii="Arial" w:hAnsi="Arial" w:cs="Arial"/>
        </w:rPr>
        <w:t xml:space="preserve"> and it was</w:t>
      </w:r>
      <w:r w:rsidR="00A637C2">
        <w:rPr>
          <w:rFonts w:ascii="Arial" w:hAnsi="Arial" w:cs="Arial"/>
        </w:rPr>
        <w:t xml:space="preserve"> agreed to include in the formulary with proviso</w:t>
      </w:r>
      <w:r w:rsidR="00113955">
        <w:rPr>
          <w:rFonts w:ascii="Arial" w:hAnsi="Arial" w:cs="Arial"/>
        </w:rPr>
        <w:t xml:space="preserve"> for specialist initiation only</w:t>
      </w:r>
      <w:r w:rsidR="00A637C2">
        <w:rPr>
          <w:rFonts w:ascii="Arial" w:hAnsi="Arial" w:cs="Arial"/>
        </w:rPr>
        <w:t>.</w:t>
      </w:r>
    </w:p>
    <w:p w:rsidR="001C3728" w:rsidRDefault="001C3728" w:rsidP="002B1167">
      <w:pPr>
        <w:pStyle w:val="ListParagraph"/>
      </w:pPr>
    </w:p>
    <w:p w:rsidR="00D20B1C" w:rsidRDefault="00142C86" w:rsidP="002B1167">
      <w:pPr>
        <w:pStyle w:val="ListParagraph"/>
        <w:rPr>
          <w:sz w:val="22"/>
          <w:szCs w:val="22"/>
        </w:rPr>
      </w:pPr>
      <w:r w:rsidRPr="00142C86">
        <w:rPr>
          <w:sz w:val="22"/>
          <w:szCs w:val="22"/>
          <w:u w:val="single"/>
        </w:rPr>
        <w:t>Primary Care Anti</w:t>
      </w:r>
      <w:r w:rsidR="00113955">
        <w:rPr>
          <w:sz w:val="22"/>
          <w:szCs w:val="22"/>
          <w:u w:val="single"/>
        </w:rPr>
        <w:t xml:space="preserve">microbial </w:t>
      </w:r>
      <w:r w:rsidRPr="00142C86">
        <w:rPr>
          <w:sz w:val="22"/>
          <w:szCs w:val="22"/>
          <w:u w:val="single"/>
        </w:rPr>
        <w:t>Guidance</w:t>
      </w:r>
      <w:r>
        <w:rPr>
          <w:sz w:val="22"/>
          <w:szCs w:val="22"/>
        </w:rPr>
        <w:t xml:space="preserve"> </w:t>
      </w:r>
      <w:r w:rsidR="00EA1C48">
        <w:rPr>
          <w:sz w:val="22"/>
          <w:szCs w:val="22"/>
        </w:rPr>
        <w:t>–</w:t>
      </w:r>
      <w:r>
        <w:rPr>
          <w:sz w:val="22"/>
          <w:szCs w:val="22"/>
        </w:rPr>
        <w:t xml:space="preserve"> </w:t>
      </w:r>
      <w:r w:rsidR="00EA1C48">
        <w:rPr>
          <w:sz w:val="22"/>
          <w:szCs w:val="22"/>
        </w:rPr>
        <w:t xml:space="preserve">This was approved but would require some review straight away due to the </w:t>
      </w:r>
      <w:r w:rsidR="00113955">
        <w:rPr>
          <w:sz w:val="22"/>
          <w:szCs w:val="22"/>
        </w:rPr>
        <w:t xml:space="preserve">recent </w:t>
      </w:r>
      <w:r w:rsidR="00EA1C48">
        <w:rPr>
          <w:sz w:val="22"/>
          <w:szCs w:val="22"/>
        </w:rPr>
        <w:t>change</w:t>
      </w:r>
      <w:r w:rsidR="00113955">
        <w:rPr>
          <w:sz w:val="22"/>
          <w:szCs w:val="22"/>
        </w:rPr>
        <w:t xml:space="preserve"> in PHE recommendation for</w:t>
      </w:r>
      <w:r w:rsidR="00EA1C48">
        <w:rPr>
          <w:sz w:val="22"/>
          <w:szCs w:val="22"/>
        </w:rPr>
        <w:t xml:space="preserve"> antibiotics used in pregnancy.  It was agreed that the document would be approved with the </w:t>
      </w:r>
      <w:r w:rsidR="00B04065">
        <w:rPr>
          <w:sz w:val="22"/>
          <w:szCs w:val="22"/>
        </w:rPr>
        <w:t>proviso</w:t>
      </w:r>
      <w:r w:rsidR="00EA1C48">
        <w:rPr>
          <w:sz w:val="22"/>
          <w:szCs w:val="22"/>
        </w:rPr>
        <w:t xml:space="preserve"> that the update takes place from the May PHE update.</w:t>
      </w:r>
      <w:r w:rsidR="00D20B1C">
        <w:rPr>
          <w:sz w:val="22"/>
          <w:szCs w:val="22"/>
        </w:rPr>
        <w:t xml:space="preserve">  </w:t>
      </w:r>
    </w:p>
    <w:p w:rsidR="00142C86" w:rsidRPr="00D20B1C" w:rsidRDefault="00D20B1C" w:rsidP="00D20B1C">
      <w:pPr>
        <w:pStyle w:val="ListParagraph"/>
        <w:jc w:val="right"/>
        <w:rPr>
          <w:b/>
          <w:sz w:val="22"/>
          <w:szCs w:val="22"/>
        </w:rPr>
      </w:pPr>
      <w:r w:rsidRPr="00D20B1C">
        <w:rPr>
          <w:b/>
          <w:sz w:val="22"/>
          <w:szCs w:val="22"/>
        </w:rPr>
        <w:t>Action: AK</w:t>
      </w:r>
    </w:p>
    <w:p w:rsidR="00186F64" w:rsidRPr="006A0078" w:rsidRDefault="00186F64" w:rsidP="002B1167">
      <w:pPr>
        <w:pStyle w:val="ListParagraph"/>
      </w:pPr>
    </w:p>
    <w:p w:rsidR="00653070" w:rsidRDefault="006A0078" w:rsidP="002B1167">
      <w:pPr>
        <w:pStyle w:val="NoSpacing"/>
        <w:numPr>
          <w:ilvl w:val="0"/>
          <w:numId w:val="13"/>
        </w:numPr>
        <w:jc w:val="both"/>
        <w:rPr>
          <w:rFonts w:ascii="Arial" w:hAnsi="Arial" w:cs="Arial"/>
        </w:rPr>
      </w:pPr>
      <w:r w:rsidRPr="00F8726F">
        <w:rPr>
          <w:rFonts w:ascii="Arial" w:hAnsi="Arial" w:cs="Arial"/>
          <w:u w:val="single"/>
        </w:rPr>
        <w:t>Constipation Pathway</w:t>
      </w:r>
      <w:r w:rsidR="00F8726F">
        <w:rPr>
          <w:rFonts w:ascii="Arial" w:hAnsi="Arial" w:cs="Arial"/>
        </w:rPr>
        <w:t xml:space="preserve"> –</w:t>
      </w:r>
      <w:r w:rsidR="00A637C2">
        <w:rPr>
          <w:rFonts w:ascii="Arial" w:hAnsi="Arial" w:cs="Arial"/>
        </w:rPr>
        <w:t xml:space="preserve"> RS was not available to speak on this.  Miss Kaur informed the group that the irrigation pathways had been circulated this morning.  With regard to the constipation </w:t>
      </w:r>
      <w:r w:rsidR="005C4E30">
        <w:rPr>
          <w:rFonts w:ascii="Arial" w:hAnsi="Arial" w:cs="Arial"/>
        </w:rPr>
        <w:t xml:space="preserve">pathways page 17 and page 30 </w:t>
      </w:r>
      <w:r w:rsidR="00D20B1C">
        <w:rPr>
          <w:rFonts w:ascii="Arial" w:hAnsi="Arial" w:cs="Arial"/>
        </w:rPr>
        <w:t>were of relevance.</w:t>
      </w:r>
    </w:p>
    <w:p w:rsidR="00A637C2" w:rsidRDefault="00A637C2" w:rsidP="00A637C2">
      <w:pPr>
        <w:pStyle w:val="NoSpacing"/>
        <w:ind w:left="720"/>
        <w:jc w:val="both"/>
        <w:rPr>
          <w:rFonts w:ascii="Arial" w:hAnsi="Arial" w:cs="Arial"/>
        </w:rPr>
      </w:pPr>
    </w:p>
    <w:p w:rsidR="00BF6C04" w:rsidRPr="006A0078" w:rsidRDefault="00BF6C04" w:rsidP="002B1167">
      <w:pPr>
        <w:pStyle w:val="NoSpacing"/>
        <w:numPr>
          <w:ilvl w:val="0"/>
          <w:numId w:val="13"/>
        </w:numPr>
        <w:jc w:val="both"/>
        <w:rPr>
          <w:rFonts w:ascii="Arial" w:hAnsi="Arial" w:cs="Arial"/>
        </w:rPr>
      </w:pPr>
      <w:r>
        <w:rPr>
          <w:rFonts w:ascii="Arial" w:hAnsi="Arial" w:cs="Arial"/>
          <w:u w:val="single"/>
        </w:rPr>
        <w:t>Trans Anal Irrigation pathway</w:t>
      </w:r>
      <w:r w:rsidR="00142C86">
        <w:rPr>
          <w:rFonts w:ascii="Arial" w:hAnsi="Arial" w:cs="Arial"/>
          <w:u w:val="single"/>
        </w:rPr>
        <w:t xml:space="preserve"> – </w:t>
      </w:r>
      <w:r w:rsidR="00113955">
        <w:rPr>
          <w:rFonts w:ascii="Arial" w:hAnsi="Arial" w:cs="Arial"/>
          <w:u w:val="single"/>
        </w:rPr>
        <w:t>(</w:t>
      </w:r>
      <w:r w:rsidR="00142C86">
        <w:rPr>
          <w:rFonts w:ascii="Arial" w:hAnsi="Arial" w:cs="Arial"/>
          <w:u w:val="single"/>
        </w:rPr>
        <w:t>document</w:t>
      </w:r>
      <w:r w:rsidR="00A637C2">
        <w:rPr>
          <w:rFonts w:ascii="Arial" w:hAnsi="Arial" w:cs="Arial"/>
          <w:u w:val="single"/>
        </w:rPr>
        <w:t>s</w:t>
      </w:r>
      <w:r w:rsidR="00142C86">
        <w:rPr>
          <w:rFonts w:ascii="Arial" w:hAnsi="Arial" w:cs="Arial"/>
          <w:u w:val="single"/>
        </w:rPr>
        <w:t xml:space="preserve"> circulated</w:t>
      </w:r>
      <w:r w:rsidR="00113955">
        <w:rPr>
          <w:rFonts w:ascii="Arial" w:hAnsi="Arial" w:cs="Arial"/>
          <w:u w:val="single"/>
        </w:rPr>
        <w:t xml:space="preserve"> to APC members </w:t>
      </w:r>
      <w:r w:rsidR="00142C86">
        <w:rPr>
          <w:rFonts w:ascii="Arial" w:hAnsi="Arial" w:cs="Arial"/>
          <w:u w:val="single"/>
        </w:rPr>
        <w:t>this morning</w:t>
      </w:r>
      <w:r w:rsidR="00113955">
        <w:rPr>
          <w:rFonts w:ascii="Arial" w:hAnsi="Arial" w:cs="Arial"/>
          <w:u w:val="single"/>
        </w:rPr>
        <w:t>)</w:t>
      </w:r>
      <w:r w:rsidR="00142C86">
        <w:rPr>
          <w:rFonts w:ascii="Arial" w:hAnsi="Arial" w:cs="Arial"/>
          <w:u w:val="single"/>
        </w:rPr>
        <w:t xml:space="preserve"> </w:t>
      </w:r>
    </w:p>
    <w:p w:rsidR="006A0078" w:rsidRDefault="006A0078" w:rsidP="002B1167">
      <w:pPr>
        <w:pStyle w:val="ListParagraph"/>
      </w:pPr>
    </w:p>
    <w:p w:rsidR="006114F2" w:rsidRDefault="00A637C2" w:rsidP="002B1167">
      <w:pPr>
        <w:pStyle w:val="ListParagraph"/>
        <w:rPr>
          <w:sz w:val="22"/>
          <w:szCs w:val="22"/>
        </w:rPr>
      </w:pPr>
      <w:r w:rsidRPr="00D20B1C">
        <w:rPr>
          <w:sz w:val="22"/>
          <w:szCs w:val="22"/>
        </w:rPr>
        <w:t>To be initiated by Special</w:t>
      </w:r>
      <w:r w:rsidR="00113955">
        <w:rPr>
          <w:sz w:val="22"/>
          <w:szCs w:val="22"/>
        </w:rPr>
        <w:t>ist Services and the Community C</w:t>
      </w:r>
      <w:r w:rsidRPr="00D20B1C">
        <w:rPr>
          <w:sz w:val="22"/>
          <w:szCs w:val="22"/>
        </w:rPr>
        <w:t>ontinence Services</w:t>
      </w:r>
      <w:r w:rsidR="00D20B1C">
        <w:rPr>
          <w:sz w:val="22"/>
          <w:szCs w:val="22"/>
        </w:rPr>
        <w:t>.</w:t>
      </w:r>
      <w:r w:rsidRPr="00D20B1C">
        <w:rPr>
          <w:sz w:val="22"/>
          <w:szCs w:val="22"/>
        </w:rPr>
        <w:t xml:space="preserve">  </w:t>
      </w:r>
      <w:r w:rsidR="009D28FD">
        <w:rPr>
          <w:sz w:val="22"/>
          <w:szCs w:val="22"/>
        </w:rPr>
        <w:t>Initial funding</w:t>
      </w:r>
      <w:r w:rsidRPr="00D20B1C">
        <w:rPr>
          <w:sz w:val="22"/>
          <w:szCs w:val="22"/>
        </w:rPr>
        <w:t xml:space="preserve"> </w:t>
      </w:r>
      <w:r w:rsidR="009D28FD">
        <w:rPr>
          <w:sz w:val="22"/>
          <w:szCs w:val="22"/>
        </w:rPr>
        <w:t xml:space="preserve">and stabilisation for 3 months would be from the Specialist Services in secondary care or the Community Continence Team (depending on where initiated).  Continued funding and review would be by Community Continence Services (see pathway).    </w:t>
      </w:r>
      <w:r w:rsidRPr="00D20B1C">
        <w:rPr>
          <w:sz w:val="22"/>
          <w:szCs w:val="22"/>
        </w:rPr>
        <w:t xml:space="preserve">In the main pathway </w:t>
      </w:r>
      <w:r w:rsidR="00D20B1C">
        <w:rPr>
          <w:sz w:val="22"/>
          <w:szCs w:val="22"/>
        </w:rPr>
        <w:t xml:space="preserve">and constipation pathway </w:t>
      </w:r>
      <w:r w:rsidRPr="00D20B1C">
        <w:rPr>
          <w:sz w:val="22"/>
          <w:szCs w:val="22"/>
        </w:rPr>
        <w:t xml:space="preserve">this makes sense.  </w:t>
      </w:r>
      <w:r w:rsidR="00B04065" w:rsidRPr="00D20B1C">
        <w:rPr>
          <w:sz w:val="22"/>
          <w:szCs w:val="22"/>
        </w:rPr>
        <w:t xml:space="preserve">Problems at weekends would be dealt with by </w:t>
      </w:r>
      <w:r w:rsidR="00B04065">
        <w:rPr>
          <w:sz w:val="22"/>
          <w:szCs w:val="22"/>
        </w:rPr>
        <w:t>Secondary Care (</w:t>
      </w:r>
      <w:r w:rsidR="00B04065" w:rsidRPr="00D20B1C">
        <w:rPr>
          <w:sz w:val="22"/>
          <w:szCs w:val="22"/>
        </w:rPr>
        <w:t>hospital</w:t>
      </w:r>
      <w:r w:rsidR="00B04065">
        <w:rPr>
          <w:sz w:val="22"/>
          <w:szCs w:val="22"/>
        </w:rPr>
        <w:t xml:space="preserve">) but it was suggested that </w:t>
      </w:r>
      <w:r w:rsidR="00B04065" w:rsidRPr="00D20B1C">
        <w:rPr>
          <w:sz w:val="22"/>
          <w:szCs w:val="22"/>
        </w:rPr>
        <w:t>problems are not usually urgent an</w:t>
      </w:r>
      <w:r w:rsidR="00B04065">
        <w:rPr>
          <w:sz w:val="22"/>
          <w:szCs w:val="22"/>
        </w:rPr>
        <w:t>d can be dealt with on a Monday by relevant continence care team.</w:t>
      </w:r>
      <w:r w:rsidR="00B04065" w:rsidRPr="00D20B1C">
        <w:rPr>
          <w:sz w:val="22"/>
          <w:szCs w:val="22"/>
        </w:rPr>
        <w:t xml:space="preserve">  It was noted that the St Marks guidelines circulated by Dr Samuel were now outdated and there were more modern devices available</w:t>
      </w:r>
      <w:r w:rsidR="00B04065">
        <w:rPr>
          <w:sz w:val="22"/>
          <w:szCs w:val="22"/>
        </w:rPr>
        <w:t>:</w:t>
      </w:r>
      <w:r w:rsidR="00B04065" w:rsidRPr="00D20B1C">
        <w:rPr>
          <w:sz w:val="22"/>
          <w:szCs w:val="22"/>
        </w:rPr>
        <w:t xml:space="preserve"> patients are capable of </w:t>
      </w:r>
      <w:r w:rsidR="00B04065">
        <w:rPr>
          <w:sz w:val="22"/>
          <w:szCs w:val="22"/>
        </w:rPr>
        <w:t>self-administration of the trans-anal irrigation</w:t>
      </w:r>
      <w:r w:rsidR="00B04065" w:rsidRPr="00D20B1C">
        <w:rPr>
          <w:sz w:val="22"/>
          <w:szCs w:val="22"/>
        </w:rPr>
        <w:t xml:space="preserve">.  </w:t>
      </w:r>
      <w:r w:rsidR="003B2ECD" w:rsidRPr="00D20B1C">
        <w:rPr>
          <w:sz w:val="22"/>
          <w:szCs w:val="22"/>
        </w:rPr>
        <w:t xml:space="preserve">Sarah Spooner pointed out problems with </w:t>
      </w:r>
      <w:r w:rsidR="007F165B">
        <w:rPr>
          <w:sz w:val="22"/>
          <w:szCs w:val="22"/>
        </w:rPr>
        <w:t xml:space="preserve">a shortage of </w:t>
      </w:r>
      <w:r w:rsidR="003B2ECD" w:rsidRPr="00D20B1C">
        <w:rPr>
          <w:sz w:val="22"/>
          <w:szCs w:val="22"/>
        </w:rPr>
        <w:t>prescribers in her team</w:t>
      </w:r>
      <w:r w:rsidR="007F165B">
        <w:rPr>
          <w:sz w:val="22"/>
          <w:szCs w:val="22"/>
        </w:rPr>
        <w:t xml:space="preserve"> to issue FP10s for equipment</w:t>
      </w:r>
      <w:r w:rsidR="003B2ECD" w:rsidRPr="00D20B1C">
        <w:rPr>
          <w:sz w:val="22"/>
          <w:szCs w:val="22"/>
        </w:rPr>
        <w:t xml:space="preserve">. </w:t>
      </w:r>
    </w:p>
    <w:p w:rsidR="006114F2" w:rsidRDefault="006114F2" w:rsidP="002B1167">
      <w:pPr>
        <w:pStyle w:val="ListParagraph"/>
        <w:rPr>
          <w:sz w:val="22"/>
          <w:szCs w:val="22"/>
        </w:rPr>
      </w:pPr>
    </w:p>
    <w:tbl>
      <w:tblPr>
        <w:tblStyle w:val="TableGrid"/>
        <w:tblW w:w="0" w:type="auto"/>
        <w:tblInd w:w="108" w:type="dxa"/>
        <w:tblLook w:val="04A0" w:firstRow="1" w:lastRow="0" w:firstColumn="1" w:lastColumn="0" w:noHBand="0" w:noVBand="1"/>
      </w:tblPr>
      <w:tblGrid>
        <w:gridCol w:w="1275"/>
        <w:gridCol w:w="7085"/>
        <w:gridCol w:w="774"/>
      </w:tblGrid>
      <w:tr w:rsidR="006114F2" w:rsidRPr="00F71EEE" w:rsidTr="006114F2">
        <w:tc>
          <w:tcPr>
            <w:tcW w:w="1276" w:type="dxa"/>
            <w:tcBorders>
              <w:top w:val="single" w:sz="4" w:space="0" w:color="auto"/>
              <w:left w:val="single" w:sz="4" w:space="0" w:color="auto"/>
              <w:bottom w:val="single" w:sz="4" w:space="0" w:color="auto"/>
              <w:right w:val="single" w:sz="4" w:space="0" w:color="auto"/>
            </w:tcBorders>
            <w:hideMark/>
          </w:tcPr>
          <w:p w:rsidR="006114F2" w:rsidRPr="00F71EEE" w:rsidRDefault="006114F2">
            <w:pPr>
              <w:spacing w:before="100" w:beforeAutospacing="1" w:line="20" w:lineRule="atLeast"/>
              <w:rPr>
                <w:b/>
                <w:color w:val="0070C0"/>
                <w:sz w:val="22"/>
                <w:szCs w:val="22"/>
                <w:lang w:eastAsia="en-US"/>
              </w:rPr>
            </w:pPr>
            <w:r w:rsidRPr="00F71EEE">
              <w:rPr>
                <w:b/>
                <w:sz w:val="22"/>
                <w:szCs w:val="22"/>
              </w:rPr>
              <w:t>OPTION 1</w:t>
            </w:r>
          </w:p>
        </w:tc>
        <w:tc>
          <w:tcPr>
            <w:tcW w:w="7088" w:type="dxa"/>
            <w:tcBorders>
              <w:top w:val="single" w:sz="4" w:space="0" w:color="auto"/>
              <w:left w:val="single" w:sz="4" w:space="0" w:color="auto"/>
              <w:bottom w:val="single" w:sz="4" w:space="0" w:color="auto"/>
              <w:right w:val="single" w:sz="4" w:space="0" w:color="auto"/>
            </w:tcBorders>
            <w:hideMark/>
          </w:tcPr>
          <w:p w:rsidR="006114F2" w:rsidRPr="00F71EEE" w:rsidRDefault="006114F2">
            <w:pPr>
              <w:spacing w:before="100" w:beforeAutospacing="1" w:line="20" w:lineRule="atLeast"/>
              <w:rPr>
                <w:rFonts w:cstheme="minorBidi"/>
                <w:b/>
                <w:color w:val="0070C0"/>
                <w:sz w:val="22"/>
                <w:szCs w:val="22"/>
              </w:rPr>
            </w:pPr>
            <w:r w:rsidRPr="00F71EEE">
              <w:rPr>
                <w:b/>
                <w:color w:val="0070C0"/>
                <w:sz w:val="22"/>
                <w:szCs w:val="22"/>
              </w:rPr>
              <w:t>Treatment to be initiated and stabilised by the specialist service providers for a period of approx. 3 months.  This includes the initial provision of a ‘starter kit’ (to include equipment/consumables).  Prescribing of the device will be made from the ‘high cost drug/device budget’ within the NLAG contract.</w:t>
            </w:r>
          </w:p>
          <w:p w:rsidR="006114F2" w:rsidRPr="00F71EEE" w:rsidRDefault="006114F2">
            <w:pPr>
              <w:spacing w:before="100" w:beforeAutospacing="1" w:line="20" w:lineRule="atLeast"/>
              <w:rPr>
                <w:color w:val="0070C0"/>
                <w:sz w:val="22"/>
                <w:szCs w:val="22"/>
              </w:rPr>
            </w:pPr>
            <w:r w:rsidRPr="00F71EEE">
              <w:rPr>
                <w:b/>
                <w:color w:val="0070C0"/>
                <w:sz w:val="22"/>
                <w:szCs w:val="22"/>
              </w:rPr>
              <w:t xml:space="preserve">Prescribing responsibilities to then transfer to primary care </w:t>
            </w:r>
            <w:r w:rsidRPr="00F71EEE">
              <w:rPr>
                <w:color w:val="0070C0"/>
                <w:sz w:val="22"/>
                <w:szCs w:val="22"/>
              </w:rPr>
              <w:t>- only where there has been a demonstrable improvement in validated measures of bowel function such as the Cleveland Clinic constipation scoring system, St Mark’s faecal incontinence score or neurogenic bowel dysfunction score.</w:t>
            </w:r>
          </w:p>
          <w:p w:rsidR="006114F2" w:rsidRPr="00F71EEE" w:rsidRDefault="006114F2">
            <w:pPr>
              <w:spacing w:before="100" w:beforeAutospacing="1" w:line="20" w:lineRule="atLeast"/>
              <w:rPr>
                <w:color w:val="0070C0"/>
                <w:sz w:val="22"/>
                <w:szCs w:val="22"/>
                <w:lang w:eastAsia="en-US"/>
              </w:rPr>
            </w:pPr>
            <w:r w:rsidRPr="00F71EEE">
              <w:rPr>
                <w:color w:val="0070C0"/>
                <w:sz w:val="22"/>
                <w:szCs w:val="22"/>
              </w:rPr>
              <w:t>Primary Care would then take responsibility for prescribing of equipment and consumables on an on-going basis as per secondary care recommendations.</w:t>
            </w:r>
          </w:p>
        </w:tc>
        <w:tc>
          <w:tcPr>
            <w:tcW w:w="774" w:type="dxa"/>
            <w:tcBorders>
              <w:top w:val="single" w:sz="4" w:space="0" w:color="auto"/>
              <w:left w:val="single" w:sz="4" w:space="0" w:color="auto"/>
              <w:bottom w:val="single" w:sz="4" w:space="0" w:color="auto"/>
              <w:right w:val="single" w:sz="4" w:space="0" w:color="auto"/>
            </w:tcBorders>
          </w:tcPr>
          <w:p w:rsidR="006114F2" w:rsidRPr="00F71EEE" w:rsidRDefault="006114F2">
            <w:pPr>
              <w:spacing w:before="100" w:beforeAutospacing="1" w:line="20" w:lineRule="atLeast"/>
              <w:rPr>
                <w:b/>
                <w:color w:val="0070C0"/>
                <w:sz w:val="22"/>
                <w:szCs w:val="22"/>
                <w:lang w:eastAsia="en-US"/>
              </w:rPr>
            </w:pPr>
          </w:p>
        </w:tc>
      </w:tr>
      <w:tr w:rsidR="006114F2" w:rsidRPr="00F71EEE" w:rsidTr="006114F2">
        <w:tc>
          <w:tcPr>
            <w:tcW w:w="1276" w:type="dxa"/>
            <w:tcBorders>
              <w:top w:val="single" w:sz="4" w:space="0" w:color="auto"/>
              <w:left w:val="single" w:sz="4" w:space="0" w:color="auto"/>
              <w:bottom w:val="single" w:sz="4" w:space="0" w:color="auto"/>
              <w:right w:val="single" w:sz="4" w:space="0" w:color="auto"/>
            </w:tcBorders>
            <w:hideMark/>
          </w:tcPr>
          <w:p w:rsidR="006114F2" w:rsidRPr="00F71EEE" w:rsidRDefault="006114F2">
            <w:pPr>
              <w:spacing w:before="100" w:beforeAutospacing="1" w:line="20" w:lineRule="atLeast"/>
              <w:rPr>
                <w:b/>
                <w:sz w:val="22"/>
                <w:szCs w:val="22"/>
                <w:lang w:eastAsia="en-US"/>
              </w:rPr>
            </w:pPr>
            <w:r w:rsidRPr="00F71EEE">
              <w:rPr>
                <w:b/>
                <w:sz w:val="22"/>
                <w:szCs w:val="22"/>
              </w:rPr>
              <w:t>OPTION 2</w:t>
            </w:r>
          </w:p>
        </w:tc>
        <w:tc>
          <w:tcPr>
            <w:tcW w:w="7088" w:type="dxa"/>
            <w:tcBorders>
              <w:top w:val="single" w:sz="4" w:space="0" w:color="auto"/>
              <w:left w:val="single" w:sz="4" w:space="0" w:color="auto"/>
              <w:bottom w:val="single" w:sz="4" w:space="0" w:color="auto"/>
              <w:right w:val="single" w:sz="4" w:space="0" w:color="auto"/>
            </w:tcBorders>
            <w:hideMark/>
          </w:tcPr>
          <w:p w:rsidR="006114F2" w:rsidRPr="00F71EEE" w:rsidRDefault="006114F2">
            <w:pPr>
              <w:spacing w:before="100" w:beforeAutospacing="1" w:line="20" w:lineRule="atLeast"/>
              <w:rPr>
                <w:rFonts w:cstheme="minorBidi"/>
                <w:color w:val="0070C0"/>
                <w:sz w:val="22"/>
                <w:szCs w:val="22"/>
              </w:rPr>
            </w:pPr>
            <w:r w:rsidRPr="00F71EEE">
              <w:rPr>
                <w:color w:val="0070C0"/>
                <w:sz w:val="22"/>
                <w:szCs w:val="22"/>
              </w:rPr>
              <w:t>Treatment to be initiated and stabilised by the specialist service providers for a period of approx. 3 months.  This includes the initial provision of a ‘starter kit’ (to include equipment/consumables).  Prescribing of the device would be done by NLAG.</w:t>
            </w:r>
          </w:p>
          <w:p w:rsidR="006114F2" w:rsidRPr="00F71EEE" w:rsidRDefault="006114F2">
            <w:pPr>
              <w:spacing w:before="100" w:beforeAutospacing="1" w:line="20" w:lineRule="atLeast"/>
              <w:rPr>
                <w:color w:val="0070C0"/>
                <w:sz w:val="22"/>
                <w:szCs w:val="22"/>
              </w:rPr>
            </w:pPr>
            <w:r w:rsidRPr="00F71EEE">
              <w:rPr>
                <w:color w:val="0070C0"/>
                <w:sz w:val="22"/>
                <w:szCs w:val="22"/>
              </w:rPr>
              <w:t>Patients to be referred to the Community Continence Team for on-going review management and prescribing of consumables and future devices if required - only where there has been a demonstrable improvement in validated measures of bowel function such as the Cleveland Clinic constipation scoring system, St Mark’s faecal incontinence score or neurogenic bowel dysfunction score.</w:t>
            </w:r>
          </w:p>
          <w:p w:rsidR="006114F2" w:rsidRPr="00F71EEE" w:rsidRDefault="006114F2">
            <w:pPr>
              <w:spacing w:before="100" w:beforeAutospacing="1" w:line="20" w:lineRule="atLeast"/>
              <w:rPr>
                <w:color w:val="0070C0"/>
                <w:sz w:val="22"/>
                <w:szCs w:val="22"/>
              </w:rPr>
            </w:pPr>
            <w:r w:rsidRPr="00F71EEE">
              <w:rPr>
                <w:color w:val="0070C0"/>
                <w:sz w:val="22"/>
                <w:szCs w:val="22"/>
              </w:rPr>
              <w:t xml:space="preserve">There will need to be explicit correspondence from the specialist service outlining a clear management plan and including clear recommendations for prescribing.  </w:t>
            </w:r>
          </w:p>
          <w:p w:rsidR="006114F2" w:rsidRPr="00F71EEE" w:rsidRDefault="006114F2">
            <w:pPr>
              <w:spacing w:before="100" w:beforeAutospacing="1" w:line="20" w:lineRule="atLeast"/>
              <w:rPr>
                <w:color w:val="0070C0"/>
                <w:sz w:val="22"/>
                <w:szCs w:val="22"/>
              </w:rPr>
            </w:pPr>
            <w:r w:rsidRPr="00F71EEE">
              <w:rPr>
                <w:color w:val="0070C0"/>
                <w:sz w:val="22"/>
                <w:szCs w:val="22"/>
              </w:rPr>
              <w:t>A budget/framework would be established via the contracts with NLAG, HEY and Care Plus Group to enable appropriate prescribing.  It is recommended that this model be undertaken as a pilot for one year to enable close review and monitoring of the patient activity and prescribing.</w:t>
            </w:r>
          </w:p>
          <w:p w:rsidR="006114F2" w:rsidRPr="00F71EEE" w:rsidRDefault="006114F2">
            <w:pPr>
              <w:spacing w:before="100" w:beforeAutospacing="1" w:line="20" w:lineRule="atLeast"/>
              <w:rPr>
                <w:i/>
                <w:color w:val="0070C0"/>
                <w:sz w:val="22"/>
                <w:szCs w:val="22"/>
              </w:rPr>
            </w:pPr>
            <w:r w:rsidRPr="00F71EEE">
              <w:rPr>
                <w:color w:val="0070C0"/>
                <w:sz w:val="22"/>
                <w:szCs w:val="22"/>
              </w:rPr>
              <w:t xml:space="preserve">Patients discharged to the Community Continence Team would need to be re-referred back to secondary care if further options for management needed to be explored e.g, surgery.  </w:t>
            </w:r>
            <w:r w:rsidRPr="00F71EEE">
              <w:rPr>
                <w:i/>
                <w:color w:val="0070C0"/>
                <w:sz w:val="22"/>
                <w:szCs w:val="22"/>
              </w:rPr>
              <w:t>The ability for direct referrals from the Community Continence Team to secondary/tertiary care is currently being explored.</w:t>
            </w:r>
          </w:p>
          <w:p w:rsidR="006114F2" w:rsidRPr="00F71EEE" w:rsidRDefault="006114F2">
            <w:pPr>
              <w:spacing w:before="100" w:beforeAutospacing="1" w:line="20" w:lineRule="atLeast"/>
              <w:rPr>
                <w:color w:val="0070C0"/>
                <w:sz w:val="22"/>
                <w:szCs w:val="22"/>
                <w:lang w:eastAsia="en-US"/>
              </w:rPr>
            </w:pPr>
            <w:r w:rsidRPr="00F71EEE">
              <w:rPr>
                <w:color w:val="0070C0"/>
                <w:sz w:val="22"/>
                <w:szCs w:val="22"/>
              </w:rPr>
              <w:t>NLAG has expressed concerns regarding the capacity to deliver this additional element of service via the community Continence service, therefore the provider and CCG need to work together to agree a solution.</w:t>
            </w:r>
          </w:p>
        </w:tc>
        <w:tc>
          <w:tcPr>
            <w:tcW w:w="774" w:type="dxa"/>
            <w:tcBorders>
              <w:top w:val="single" w:sz="4" w:space="0" w:color="auto"/>
              <w:left w:val="single" w:sz="4" w:space="0" w:color="auto"/>
              <w:bottom w:val="single" w:sz="4" w:space="0" w:color="auto"/>
              <w:right w:val="single" w:sz="4" w:space="0" w:color="auto"/>
            </w:tcBorders>
          </w:tcPr>
          <w:p w:rsidR="006114F2" w:rsidRPr="00F71EEE" w:rsidRDefault="006114F2">
            <w:pPr>
              <w:spacing w:before="100" w:beforeAutospacing="1" w:line="20" w:lineRule="atLeast"/>
              <w:rPr>
                <w:b/>
                <w:color w:val="FF0000"/>
                <w:sz w:val="22"/>
                <w:szCs w:val="22"/>
                <w:lang w:eastAsia="en-US"/>
              </w:rPr>
            </w:pPr>
          </w:p>
        </w:tc>
      </w:tr>
    </w:tbl>
    <w:p w:rsidR="006114F2" w:rsidRDefault="006114F2" w:rsidP="002B1167">
      <w:pPr>
        <w:pStyle w:val="ListParagraph"/>
        <w:rPr>
          <w:sz w:val="22"/>
          <w:szCs w:val="22"/>
        </w:rPr>
      </w:pPr>
    </w:p>
    <w:p w:rsidR="006114F2" w:rsidRDefault="006114F2" w:rsidP="002B1167">
      <w:pPr>
        <w:pStyle w:val="ListParagraph"/>
        <w:rPr>
          <w:sz w:val="22"/>
          <w:szCs w:val="22"/>
        </w:rPr>
      </w:pPr>
    </w:p>
    <w:p w:rsidR="006114F2" w:rsidRDefault="006114F2" w:rsidP="002B1167">
      <w:pPr>
        <w:pStyle w:val="ListParagraph"/>
        <w:rPr>
          <w:sz w:val="22"/>
          <w:szCs w:val="22"/>
        </w:rPr>
      </w:pPr>
    </w:p>
    <w:p w:rsidR="00D20B1C" w:rsidRDefault="003B2ECD" w:rsidP="002B1167">
      <w:pPr>
        <w:pStyle w:val="ListParagraph"/>
        <w:rPr>
          <w:sz w:val="22"/>
          <w:szCs w:val="22"/>
        </w:rPr>
      </w:pPr>
      <w:r w:rsidRPr="00F71EEE">
        <w:rPr>
          <w:sz w:val="22"/>
          <w:szCs w:val="22"/>
        </w:rPr>
        <w:t xml:space="preserve">It was agreed that </w:t>
      </w:r>
      <w:r w:rsidR="005C4E30" w:rsidRPr="00F71EEE">
        <w:rPr>
          <w:sz w:val="22"/>
          <w:szCs w:val="22"/>
        </w:rPr>
        <w:t>option 1 is not possible due to the number of patients that would need to be seen by the GPs option 2 is feasible working with the Incontinence Service, equipment, monitoring of patients and the use of a Patient Specific Direction.  Gemma McNally and Rachel Staniforth to pick this work up outside of the meeting</w:t>
      </w:r>
      <w:r w:rsidR="005C4E30" w:rsidRPr="00D20B1C">
        <w:rPr>
          <w:sz w:val="22"/>
          <w:szCs w:val="22"/>
        </w:rPr>
        <w:t xml:space="preserve">.  </w:t>
      </w:r>
    </w:p>
    <w:p w:rsidR="00A637C2" w:rsidRPr="00D20B1C" w:rsidRDefault="005C4E30" w:rsidP="00D20B1C">
      <w:pPr>
        <w:pStyle w:val="ListParagraph"/>
        <w:jc w:val="right"/>
        <w:rPr>
          <w:sz w:val="22"/>
          <w:szCs w:val="22"/>
        </w:rPr>
      </w:pPr>
      <w:r w:rsidRPr="00D20B1C">
        <w:rPr>
          <w:b/>
          <w:sz w:val="22"/>
          <w:szCs w:val="22"/>
        </w:rPr>
        <w:t>Action: GMc/RS</w:t>
      </w:r>
    </w:p>
    <w:p w:rsidR="00A637C2" w:rsidRPr="006A0078" w:rsidRDefault="00A637C2" w:rsidP="002B1167">
      <w:pPr>
        <w:pStyle w:val="ListParagraph"/>
      </w:pPr>
    </w:p>
    <w:p w:rsidR="004B0399" w:rsidRDefault="00B04065" w:rsidP="00E07142">
      <w:pPr>
        <w:pStyle w:val="NoSpacing"/>
        <w:numPr>
          <w:ilvl w:val="0"/>
          <w:numId w:val="13"/>
        </w:numPr>
        <w:jc w:val="both"/>
        <w:rPr>
          <w:rFonts w:ascii="Arial" w:hAnsi="Arial" w:cs="Arial"/>
        </w:rPr>
      </w:pPr>
      <w:r>
        <w:rPr>
          <w:rFonts w:ascii="Arial" w:hAnsi="Arial" w:cs="Arial"/>
          <w:u w:val="single"/>
        </w:rPr>
        <w:t xml:space="preserve">Funding for </w:t>
      </w:r>
      <w:r w:rsidRPr="009D10A9">
        <w:rPr>
          <w:rFonts w:ascii="Arial" w:hAnsi="Arial" w:cs="Arial"/>
          <w:u w:val="single"/>
        </w:rPr>
        <w:t xml:space="preserve">LMWH </w:t>
      </w:r>
      <w:r>
        <w:rPr>
          <w:rFonts w:ascii="Arial" w:hAnsi="Arial" w:cs="Arial"/>
          <w:u w:val="single"/>
        </w:rPr>
        <w:t>and Sodium Clodronate for oncology patients -</w:t>
      </w:r>
      <w:r>
        <w:rPr>
          <w:rFonts w:ascii="Arial" w:hAnsi="Arial" w:cs="Arial"/>
        </w:rPr>
        <w:t xml:space="preserve"> The appropriate commissioning and funding routes for these medicines have been agreed and this will be discussed with clinical leads.</w:t>
      </w:r>
    </w:p>
    <w:p w:rsidR="00C25C3E" w:rsidRPr="006A0078" w:rsidRDefault="00C25C3E" w:rsidP="002B1167">
      <w:pPr>
        <w:pStyle w:val="ListParagraph"/>
      </w:pPr>
    </w:p>
    <w:p w:rsidR="006A0078" w:rsidRPr="00BF6C04" w:rsidRDefault="006A0078" w:rsidP="00BF6C04">
      <w:pPr>
        <w:pStyle w:val="NoSpacing"/>
        <w:numPr>
          <w:ilvl w:val="0"/>
          <w:numId w:val="13"/>
        </w:numPr>
        <w:jc w:val="both"/>
      </w:pPr>
      <w:r w:rsidRPr="00C06434">
        <w:rPr>
          <w:rFonts w:ascii="Arial" w:hAnsi="Arial" w:cs="Arial"/>
          <w:u w:val="single"/>
        </w:rPr>
        <w:t>Public Membership</w:t>
      </w:r>
      <w:r w:rsidR="00C06434">
        <w:rPr>
          <w:rFonts w:ascii="Arial" w:hAnsi="Arial" w:cs="Arial"/>
        </w:rPr>
        <w:t xml:space="preserve"> –</w:t>
      </w:r>
      <w:r w:rsidR="0053472A">
        <w:rPr>
          <w:rFonts w:ascii="Arial" w:hAnsi="Arial" w:cs="Arial"/>
        </w:rPr>
        <w:t xml:space="preserve"> Margaret Henry </w:t>
      </w:r>
      <w:r w:rsidR="00F4499B">
        <w:rPr>
          <w:rFonts w:ascii="Arial" w:hAnsi="Arial" w:cs="Arial"/>
        </w:rPr>
        <w:t>will continue as</w:t>
      </w:r>
      <w:r w:rsidR="00252557">
        <w:rPr>
          <w:rFonts w:ascii="Arial" w:hAnsi="Arial" w:cs="Arial"/>
        </w:rPr>
        <w:t xml:space="preserve"> Public Membership </w:t>
      </w:r>
      <w:r w:rsidR="00F4499B">
        <w:rPr>
          <w:rFonts w:ascii="Arial" w:hAnsi="Arial" w:cs="Arial"/>
        </w:rPr>
        <w:t>re</w:t>
      </w:r>
      <w:r w:rsidR="00252557">
        <w:rPr>
          <w:rFonts w:ascii="Arial" w:hAnsi="Arial" w:cs="Arial"/>
        </w:rPr>
        <w:t>present</w:t>
      </w:r>
      <w:r w:rsidR="00F4499B">
        <w:rPr>
          <w:rFonts w:ascii="Arial" w:hAnsi="Arial" w:cs="Arial"/>
        </w:rPr>
        <w:t>ative</w:t>
      </w:r>
      <w:r w:rsidR="00252557">
        <w:rPr>
          <w:rFonts w:ascii="Arial" w:hAnsi="Arial" w:cs="Arial"/>
        </w:rPr>
        <w:t>.</w:t>
      </w:r>
    </w:p>
    <w:p w:rsidR="00BF6C04" w:rsidRPr="006A0078" w:rsidRDefault="00BF6C04" w:rsidP="00BF6C04">
      <w:pPr>
        <w:pStyle w:val="NoSpacing"/>
        <w:ind w:left="720"/>
        <w:jc w:val="both"/>
      </w:pPr>
    </w:p>
    <w:p w:rsidR="006A0078" w:rsidRPr="00BF6C04" w:rsidRDefault="006A0078" w:rsidP="00252557">
      <w:pPr>
        <w:pStyle w:val="NoSpacing"/>
        <w:numPr>
          <w:ilvl w:val="0"/>
          <w:numId w:val="13"/>
        </w:numPr>
      </w:pPr>
      <w:r w:rsidRPr="00C06434">
        <w:rPr>
          <w:rFonts w:ascii="Arial" w:hAnsi="Arial" w:cs="Arial"/>
          <w:u w:val="single"/>
        </w:rPr>
        <w:t>Review of the use of NOACs</w:t>
      </w:r>
      <w:r w:rsidR="00C06434">
        <w:rPr>
          <w:rFonts w:ascii="Arial" w:hAnsi="Arial" w:cs="Arial"/>
        </w:rPr>
        <w:t xml:space="preserve"> </w:t>
      </w:r>
      <w:r w:rsidR="0053472A">
        <w:rPr>
          <w:rFonts w:ascii="Arial" w:hAnsi="Arial" w:cs="Arial"/>
        </w:rPr>
        <w:t>– G</w:t>
      </w:r>
      <w:r w:rsidR="00252557">
        <w:rPr>
          <w:rFonts w:ascii="Arial" w:hAnsi="Arial" w:cs="Arial"/>
        </w:rPr>
        <w:t>emma McNally</w:t>
      </w:r>
      <w:r w:rsidR="0053472A">
        <w:rPr>
          <w:rFonts w:ascii="Arial" w:hAnsi="Arial" w:cs="Arial"/>
        </w:rPr>
        <w:t xml:space="preserve"> and P</w:t>
      </w:r>
      <w:r w:rsidR="00252557">
        <w:rPr>
          <w:rFonts w:ascii="Arial" w:hAnsi="Arial" w:cs="Arial"/>
        </w:rPr>
        <w:t>aulash Haider</w:t>
      </w:r>
      <w:r w:rsidR="0053472A">
        <w:rPr>
          <w:rFonts w:ascii="Arial" w:hAnsi="Arial" w:cs="Arial"/>
        </w:rPr>
        <w:t xml:space="preserve"> had discussed this</w:t>
      </w:r>
      <w:r w:rsidR="00252557">
        <w:rPr>
          <w:rFonts w:ascii="Arial" w:hAnsi="Arial" w:cs="Arial"/>
        </w:rPr>
        <w:t xml:space="preserve">.  </w:t>
      </w:r>
      <w:r w:rsidR="00F4499B">
        <w:rPr>
          <w:rFonts w:ascii="Arial" w:hAnsi="Arial" w:cs="Arial"/>
        </w:rPr>
        <w:t>A range of novel oral anticoagulants are in use across the health economy. A</w:t>
      </w:r>
      <w:r w:rsidR="0053472A">
        <w:rPr>
          <w:rFonts w:ascii="Arial" w:hAnsi="Arial" w:cs="Arial"/>
        </w:rPr>
        <w:t xml:space="preserve"> strategy for </w:t>
      </w:r>
      <w:r w:rsidR="00F4499B">
        <w:rPr>
          <w:rFonts w:ascii="Arial" w:hAnsi="Arial" w:cs="Arial"/>
        </w:rPr>
        <w:t xml:space="preserve">the use of </w:t>
      </w:r>
      <w:r w:rsidR="0053472A">
        <w:rPr>
          <w:rFonts w:ascii="Arial" w:hAnsi="Arial" w:cs="Arial"/>
        </w:rPr>
        <w:t xml:space="preserve">NOACs </w:t>
      </w:r>
      <w:r w:rsidR="00F4499B">
        <w:rPr>
          <w:rFonts w:ascii="Arial" w:hAnsi="Arial" w:cs="Arial"/>
        </w:rPr>
        <w:t>reflecting latest published evidence is required for discussion at a future APC.</w:t>
      </w:r>
      <w:r w:rsidR="0053472A">
        <w:rPr>
          <w:rFonts w:ascii="Arial" w:hAnsi="Arial" w:cs="Arial"/>
        </w:rPr>
        <w:t xml:space="preserve"> </w:t>
      </w:r>
    </w:p>
    <w:p w:rsidR="00BF6C04" w:rsidRPr="00252557" w:rsidRDefault="00252557" w:rsidP="00252557">
      <w:pPr>
        <w:pStyle w:val="ListParagraph"/>
        <w:jc w:val="right"/>
        <w:rPr>
          <w:b/>
          <w:sz w:val="22"/>
          <w:szCs w:val="22"/>
        </w:rPr>
      </w:pPr>
      <w:r w:rsidRPr="00252557">
        <w:rPr>
          <w:b/>
          <w:sz w:val="22"/>
          <w:szCs w:val="22"/>
        </w:rPr>
        <w:t>Action: P</w:t>
      </w:r>
      <w:r w:rsidR="0044397B">
        <w:rPr>
          <w:b/>
          <w:sz w:val="22"/>
          <w:szCs w:val="22"/>
        </w:rPr>
        <w:t>H</w:t>
      </w:r>
    </w:p>
    <w:p w:rsidR="006A0078" w:rsidRDefault="006A0078" w:rsidP="00BF6C04">
      <w:pPr>
        <w:pStyle w:val="ListParagraph"/>
        <w:numPr>
          <w:ilvl w:val="0"/>
          <w:numId w:val="13"/>
        </w:numPr>
      </w:pPr>
      <w:r w:rsidRPr="00AE075A">
        <w:rPr>
          <w:sz w:val="22"/>
          <w:szCs w:val="22"/>
          <w:u w:val="single"/>
        </w:rPr>
        <w:t>Chapter 11</w:t>
      </w:r>
      <w:r w:rsidR="00C06434">
        <w:t xml:space="preserve"> –</w:t>
      </w:r>
      <w:r w:rsidR="00252557">
        <w:rPr>
          <w:sz w:val="22"/>
          <w:szCs w:val="22"/>
        </w:rPr>
        <w:t xml:space="preserve">It was agreed </w:t>
      </w:r>
      <w:r w:rsidR="00F4499B">
        <w:rPr>
          <w:sz w:val="22"/>
          <w:szCs w:val="22"/>
        </w:rPr>
        <w:t>to request</w:t>
      </w:r>
      <w:r w:rsidR="00252557">
        <w:rPr>
          <w:sz w:val="22"/>
          <w:szCs w:val="22"/>
        </w:rPr>
        <w:t xml:space="preserve"> Mr Kotta to </w:t>
      </w:r>
      <w:r w:rsidR="00F4499B">
        <w:rPr>
          <w:sz w:val="22"/>
          <w:szCs w:val="22"/>
        </w:rPr>
        <w:t>provide any final comments on Chapter 11</w:t>
      </w:r>
      <w:r w:rsidR="00252557">
        <w:rPr>
          <w:sz w:val="22"/>
          <w:szCs w:val="22"/>
        </w:rPr>
        <w:t>.</w:t>
      </w:r>
    </w:p>
    <w:p w:rsidR="00BF6C04" w:rsidRPr="00F4499B" w:rsidRDefault="00252557" w:rsidP="00252557">
      <w:pPr>
        <w:pStyle w:val="ListParagraph"/>
        <w:jc w:val="right"/>
        <w:rPr>
          <w:b/>
          <w:sz w:val="22"/>
          <w:szCs w:val="22"/>
        </w:rPr>
      </w:pPr>
      <w:r w:rsidRPr="00F4499B">
        <w:rPr>
          <w:b/>
          <w:sz w:val="22"/>
          <w:szCs w:val="22"/>
        </w:rPr>
        <w:t>Action: A</w:t>
      </w:r>
      <w:r w:rsidR="00F4499B" w:rsidRPr="00F4499B">
        <w:rPr>
          <w:b/>
          <w:sz w:val="22"/>
          <w:szCs w:val="22"/>
        </w:rPr>
        <w:t>T</w:t>
      </w:r>
    </w:p>
    <w:p w:rsidR="00EC29F3" w:rsidRPr="009D28FD" w:rsidRDefault="006A0078" w:rsidP="00BF6C04">
      <w:pPr>
        <w:pStyle w:val="NoSpacing"/>
        <w:numPr>
          <w:ilvl w:val="0"/>
          <w:numId w:val="13"/>
        </w:numPr>
        <w:jc w:val="both"/>
      </w:pPr>
      <w:r w:rsidRPr="00EC29F3">
        <w:rPr>
          <w:rFonts w:ascii="Arial" w:hAnsi="Arial" w:cs="Arial"/>
          <w:u w:val="single"/>
        </w:rPr>
        <w:t>Lurasidone</w:t>
      </w:r>
      <w:r w:rsidR="00F8726F">
        <w:rPr>
          <w:rFonts w:ascii="Arial" w:hAnsi="Arial" w:cs="Arial"/>
        </w:rPr>
        <w:t xml:space="preserve"> –</w:t>
      </w:r>
      <w:r w:rsidR="00F4499B">
        <w:rPr>
          <w:rFonts w:ascii="Arial" w:hAnsi="Arial" w:cs="Arial"/>
        </w:rPr>
        <w:t xml:space="preserve"> checking NAVIGO support the inclusion of lurasidone for prescribing in specialist care only</w:t>
      </w:r>
      <w:r w:rsidR="0053472A">
        <w:rPr>
          <w:rFonts w:ascii="Arial" w:hAnsi="Arial" w:cs="Arial"/>
        </w:rPr>
        <w:t>.</w:t>
      </w:r>
    </w:p>
    <w:p w:rsidR="009D28FD" w:rsidRPr="009D28FD" w:rsidRDefault="009D28FD" w:rsidP="009D28FD">
      <w:pPr>
        <w:pStyle w:val="NoSpacing"/>
        <w:ind w:left="720"/>
        <w:jc w:val="right"/>
        <w:rPr>
          <w:b/>
        </w:rPr>
      </w:pPr>
      <w:r w:rsidRPr="009D28FD">
        <w:rPr>
          <w:rFonts w:ascii="Arial" w:hAnsi="Arial" w:cs="Arial"/>
          <w:b/>
        </w:rPr>
        <w:t>Action</w:t>
      </w:r>
      <w:r w:rsidRPr="009D28FD">
        <w:rPr>
          <w:b/>
        </w:rPr>
        <w:t>:</w:t>
      </w:r>
      <w:r w:rsidRPr="009D28FD">
        <w:rPr>
          <w:rFonts w:ascii="Arial" w:hAnsi="Arial" w:cs="Arial"/>
          <w:b/>
        </w:rPr>
        <w:t>AT</w:t>
      </w:r>
    </w:p>
    <w:p w:rsidR="00BF6C04" w:rsidRDefault="00BF6C04" w:rsidP="00BF6C04">
      <w:pPr>
        <w:pStyle w:val="ListParagraph"/>
      </w:pPr>
    </w:p>
    <w:p w:rsidR="006A0078" w:rsidRDefault="006A0078" w:rsidP="00252557">
      <w:pPr>
        <w:pStyle w:val="NoSpacing"/>
        <w:numPr>
          <w:ilvl w:val="0"/>
          <w:numId w:val="13"/>
        </w:numPr>
        <w:rPr>
          <w:rFonts w:ascii="Arial" w:hAnsi="Arial" w:cs="Arial"/>
        </w:rPr>
      </w:pPr>
      <w:r w:rsidRPr="00C25C3E">
        <w:rPr>
          <w:rFonts w:ascii="Arial" w:hAnsi="Arial" w:cs="Arial"/>
          <w:u w:val="single"/>
        </w:rPr>
        <w:t>NL CCG Prescribing formulary changes agreed at Engine Room</w:t>
      </w:r>
      <w:r w:rsidR="00EC29F3">
        <w:rPr>
          <w:rFonts w:ascii="Arial" w:hAnsi="Arial" w:cs="Arial"/>
        </w:rPr>
        <w:t xml:space="preserve"> - </w:t>
      </w:r>
      <w:r w:rsidR="00EC29F3" w:rsidRPr="00EC29F3">
        <w:rPr>
          <w:rFonts w:ascii="Arial" w:hAnsi="Arial" w:cs="Arial"/>
        </w:rPr>
        <w:t xml:space="preserve"> </w:t>
      </w:r>
      <w:r w:rsidR="004B2652">
        <w:rPr>
          <w:rFonts w:ascii="Arial" w:hAnsi="Arial" w:cs="Arial"/>
        </w:rPr>
        <w:t>N</w:t>
      </w:r>
      <w:r w:rsidR="00252557">
        <w:rPr>
          <w:rFonts w:ascii="Arial" w:hAnsi="Arial" w:cs="Arial"/>
        </w:rPr>
        <w:t>et-formulary</w:t>
      </w:r>
      <w:r w:rsidR="004B2652">
        <w:rPr>
          <w:rFonts w:ascii="Arial" w:hAnsi="Arial" w:cs="Arial"/>
        </w:rPr>
        <w:t xml:space="preserve"> presentation of the formulary will be able to reflect preferred products proposed by CCGs</w:t>
      </w:r>
      <w:r w:rsidR="00252557">
        <w:rPr>
          <w:rFonts w:ascii="Arial" w:hAnsi="Arial" w:cs="Arial"/>
        </w:rPr>
        <w:t>.</w:t>
      </w:r>
    </w:p>
    <w:p w:rsidR="002278D9" w:rsidRDefault="002278D9" w:rsidP="002278D9">
      <w:pPr>
        <w:pStyle w:val="NoSpacing"/>
        <w:ind w:left="720"/>
        <w:jc w:val="both"/>
        <w:rPr>
          <w:rFonts w:ascii="Arial" w:hAnsi="Arial" w:cs="Arial"/>
        </w:rPr>
      </w:pPr>
    </w:p>
    <w:p w:rsidR="00BF6C04" w:rsidRDefault="00BF6C04" w:rsidP="00252557">
      <w:pPr>
        <w:pStyle w:val="NoSpacing"/>
        <w:numPr>
          <w:ilvl w:val="0"/>
          <w:numId w:val="13"/>
        </w:numPr>
        <w:rPr>
          <w:rFonts w:ascii="Arial" w:hAnsi="Arial" w:cs="Arial"/>
        </w:rPr>
      </w:pPr>
      <w:r w:rsidRPr="000D4ABC">
        <w:rPr>
          <w:rFonts w:ascii="Arial" w:hAnsi="Arial" w:cs="Arial"/>
          <w:u w:val="single"/>
        </w:rPr>
        <w:t>Co-Amoxiclav Prescribing in Primary and Secondary Care</w:t>
      </w:r>
      <w:r w:rsidR="002278D9">
        <w:rPr>
          <w:rFonts w:ascii="Arial" w:hAnsi="Arial" w:cs="Arial"/>
        </w:rPr>
        <w:t xml:space="preserve"> – </w:t>
      </w:r>
      <w:r w:rsidR="004B2652">
        <w:rPr>
          <w:rFonts w:ascii="Arial" w:hAnsi="Arial" w:cs="Arial"/>
        </w:rPr>
        <w:t xml:space="preserve">Urgent Care departments have reviewed antimicrobial choice to encourage more appropriate prescribing of co-amoxiclav. The Trust has </w:t>
      </w:r>
      <w:r w:rsidR="00B04065">
        <w:rPr>
          <w:rFonts w:ascii="Arial" w:hAnsi="Arial" w:cs="Arial"/>
        </w:rPr>
        <w:t>purchased</w:t>
      </w:r>
      <w:r w:rsidR="004B2652">
        <w:rPr>
          <w:rFonts w:ascii="Arial" w:hAnsi="Arial" w:cs="Arial"/>
        </w:rPr>
        <w:t xml:space="preserve"> an information tool called </w:t>
      </w:r>
      <w:r w:rsidR="002278D9">
        <w:rPr>
          <w:rFonts w:ascii="Arial" w:hAnsi="Arial" w:cs="Arial"/>
        </w:rPr>
        <w:t xml:space="preserve">Refine </w:t>
      </w:r>
      <w:r w:rsidR="004B2652">
        <w:rPr>
          <w:rFonts w:ascii="Arial" w:hAnsi="Arial" w:cs="Arial"/>
        </w:rPr>
        <w:t>which can provide reports on drug use</w:t>
      </w:r>
      <w:r w:rsidR="002278D9">
        <w:rPr>
          <w:rFonts w:ascii="Arial" w:hAnsi="Arial" w:cs="Arial"/>
        </w:rPr>
        <w:t xml:space="preserve">.  </w:t>
      </w:r>
    </w:p>
    <w:p w:rsidR="002278D9" w:rsidRDefault="002278D9" w:rsidP="002278D9">
      <w:pPr>
        <w:pStyle w:val="NoSpacing"/>
        <w:ind w:left="720"/>
        <w:jc w:val="both"/>
        <w:rPr>
          <w:rFonts w:ascii="Arial" w:hAnsi="Arial" w:cs="Arial"/>
        </w:rPr>
      </w:pPr>
    </w:p>
    <w:p w:rsidR="00BF6C04" w:rsidRDefault="00BF6C04" w:rsidP="00BF6C04">
      <w:pPr>
        <w:pStyle w:val="NoSpacing"/>
        <w:numPr>
          <w:ilvl w:val="0"/>
          <w:numId w:val="13"/>
        </w:numPr>
        <w:jc w:val="both"/>
        <w:rPr>
          <w:rFonts w:ascii="Arial" w:hAnsi="Arial" w:cs="Arial"/>
        </w:rPr>
      </w:pPr>
      <w:r>
        <w:rPr>
          <w:rFonts w:ascii="Arial" w:hAnsi="Arial" w:cs="Arial"/>
          <w:u w:val="single"/>
        </w:rPr>
        <w:t>Supply of medication from outpatients</w:t>
      </w:r>
      <w:r w:rsidR="002278D9">
        <w:rPr>
          <w:rFonts w:ascii="Arial" w:hAnsi="Arial" w:cs="Arial"/>
        </w:rPr>
        <w:t xml:space="preserve"> </w:t>
      </w:r>
      <w:r w:rsidR="004B2652">
        <w:rPr>
          <w:rFonts w:ascii="Arial" w:hAnsi="Arial" w:cs="Arial"/>
        </w:rPr>
        <w:t>–</w:t>
      </w:r>
      <w:r w:rsidR="002278D9">
        <w:rPr>
          <w:rFonts w:ascii="Arial" w:hAnsi="Arial" w:cs="Arial"/>
        </w:rPr>
        <w:t xml:space="preserve"> </w:t>
      </w:r>
      <w:r w:rsidR="004B2652">
        <w:rPr>
          <w:rFonts w:ascii="Arial" w:hAnsi="Arial" w:cs="Arial"/>
        </w:rPr>
        <w:t>The outpatient departments have been requested to review any letters that suggest patients should contact their GP for medicines supply to make it clear that medicines are not required “immediately” and should be requested in line with their GP’s normal procedures</w:t>
      </w:r>
    </w:p>
    <w:p w:rsidR="00EC29F3" w:rsidRDefault="00EC29F3" w:rsidP="00EC29F3"/>
    <w:p w:rsidR="00252557" w:rsidRPr="00252557" w:rsidRDefault="007926FF" w:rsidP="002B1167">
      <w:pPr>
        <w:pStyle w:val="NoSpacing"/>
        <w:numPr>
          <w:ilvl w:val="0"/>
          <w:numId w:val="13"/>
        </w:numPr>
        <w:jc w:val="both"/>
        <w:rPr>
          <w:rFonts w:ascii="Arial" w:hAnsi="Arial" w:cs="Arial"/>
          <w:b/>
        </w:rPr>
      </w:pPr>
      <w:r w:rsidRPr="00B662B9">
        <w:rPr>
          <w:rFonts w:ascii="Arial" w:hAnsi="Arial" w:cs="Arial"/>
          <w:u w:val="single"/>
        </w:rPr>
        <w:t>NEL Continence formulary</w:t>
      </w:r>
      <w:r w:rsidR="00EE59BE">
        <w:rPr>
          <w:rFonts w:ascii="Arial" w:hAnsi="Arial" w:cs="Arial"/>
        </w:rPr>
        <w:t xml:space="preserve"> – </w:t>
      </w:r>
      <w:r w:rsidR="0053472A">
        <w:rPr>
          <w:rFonts w:ascii="Arial" w:hAnsi="Arial" w:cs="Arial"/>
        </w:rPr>
        <w:t>final comments to be gathered for the next meeting.  J</w:t>
      </w:r>
      <w:r w:rsidR="00252557">
        <w:rPr>
          <w:rFonts w:ascii="Arial" w:hAnsi="Arial" w:cs="Arial"/>
        </w:rPr>
        <w:t>oanne Rowson to</w:t>
      </w:r>
      <w:r w:rsidR="0053472A">
        <w:rPr>
          <w:rFonts w:ascii="Arial" w:hAnsi="Arial" w:cs="Arial"/>
        </w:rPr>
        <w:t xml:space="preserve"> re-circulate.  </w:t>
      </w:r>
    </w:p>
    <w:p w:rsidR="007926FF" w:rsidRPr="00252557" w:rsidRDefault="0053472A" w:rsidP="00252557">
      <w:pPr>
        <w:pStyle w:val="NoSpacing"/>
        <w:ind w:left="360"/>
        <w:jc w:val="right"/>
        <w:rPr>
          <w:rFonts w:ascii="Arial" w:hAnsi="Arial" w:cs="Arial"/>
          <w:b/>
        </w:rPr>
      </w:pPr>
      <w:r w:rsidRPr="00252557">
        <w:rPr>
          <w:rFonts w:ascii="Arial" w:hAnsi="Arial" w:cs="Arial"/>
          <w:b/>
        </w:rPr>
        <w:t>Action: JR</w:t>
      </w:r>
    </w:p>
    <w:p w:rsidR="00BF6C04" w:rsidRDefault="00BF6C04" w:rsidP="00BF6C04">
      <w:pPr>
        <w:pStyle w:val="ListParagraph"/>
        <w:rPr>
          <w:b/>
        </w:rPr>
      </w:pPr>
    </w:p>
    <w:p w:rsidR="00BF6C04" w:rsidRPr="004B2652" w:rsidRDefault="00BF6C04" w:rsidP="002B1167">
      <w:pPr>
        <w:pStyle w:val="NoSpacing"/>
        <w:numPr>
          <w:ilvl w:val="0"/>
          <w:numId w:val="13"/>
        </w:numPr>
        <w:jc w:val="both"/>
        <w:rPr>
          <w:rFonts w:ascii="Arial" w:hAnsi="Arial" w:cs="Arial"/>
        </w:rPr>
      </w:pPr>
      <w:r w:rsidRPr="004B2652">
        <w:rPr>
          <w:rFonts w:ascii="Arial" w:hAnsi="Arial" w:cs="Arial"/>
        </w:rPr>
        <w:t>Eye-Com</w:t>
      </w:r>
      <w:r w:rsidR="0037797B" w:rsidRPr="004B2652">
        <w:rPr>
          <w:rFonts w:ascii="Arial" w:hAnsi="Arial" w:cs="Arial"/>
        </w:rPr>
        <w:t xml:space="preserve"> – update on </w:t>
      </w:r>
      <w:r w:rsidR="004B2652" w:rsidRPr="004B2652">
        <w:rPr>
          <w:rFonts w:ascii="Arial" w:hAnsi="Arial" w:cs="Arial"/>
        </w:rPr>
        <w:t>minutes of previous meeting</w:t>
      </w:r>
      <w:r w:rsidR="0037797B" w:rsidRPr="004B2652">
        <w:rPr>
          <w:rFonts w:ascii="Arial" w:hAnsi="Arial" w:cs="Arial"/>
        </w:rPr>
        <w:t>.</w:t>
      </w:r>
    </w:p>
    <w:p w:rsidR="00B662B9" w:rsidRDefault="00B662B9" w:rsidP="002B1167">
      <w:pPr>
        <w:pStyle w:val="ListParagraph"/>
      </w:pPr>
    </w:p>
    <w:p w:rsidR="007926FF" w:rsidRDefault="007926FF" w:rsidP="0037797B">
      <w:pPr>
        <w:pStyle w:val="NoSpacing"/>
        <w:numPr>
          <w:ilvl w:val="0"/>
          <w:numId w:val="13"/>
        </w:numPr>
        <w:jc w:val="both"/>
      </w:pPr>
      <w:r w:rsidRPr="002555F9">
        <w:rPr>
          <w:rFonts w:ascii="Arial" w:hAnsi="Arial" w:cs="Arial"/>
          <w:u w:val="single"/>
        </w:rPr>
        <w:t>Terms of Reference</w:t>
      </w:r>
      <w:r w:rsidR="00316390">
        <w:rPr>
          <w:rFonts w:ascii="Arial" w:hAnsi="Arial" w:cs="Arial"/>
        </w:rPr>
        <w:t xml:space="preserve"> –</w:t>
      </w:r>
      <w:r w:rsidR="0037797B">
        <w:rPr>
          <w:rFonts w:ascii="Arial" w:hAnsi="Arial" w:cs="Arial"/>
        </w:rPr>
        <w:t xml:space="preserve"> </w:t>
      </w:r>
      <w:r w:rsidR="00F4499B">
        <w:rPr>
          <w:rFonts w:ascii="Arial" w:hAnsi="Arial" w:cs="Arial"/>
        </w:rPr>
        <w:t>Minor changes to the Terms of Reference were</w:t>
      </w:r>
      <w:r w:rsidR="0037797B">
        <w:rPr>
          <w:rFonts w:ascii="Arial" w:hAnsi="Arial" w:cs="Arial"/>
        </w:rPr>
        <w:t xml:space="preserve"> agreed.  </w:t>
      </w:r>
      <w:r w:rsidR="00F4499B">
        <w:rPr>
          <w:rFonts w:ascii="Arial" w:hAnsi="Arial" w:cs="Arial"/>
        </w:rPr>
        <w:t xml:space="preserve">Paul </w:t>
      </w:r>
      <w:r w:rsidR="00B04065">
        <w:rPr>
          <w:rFonts w:ascii="Arial" w:hAnsi="Arial" w:cs="Arial"/>
        </w:rPr>
        <w:t>Fieldhouse</w:t>
      </w:r>
      <w:r w:rsidR="00F4499B">
        <w:rPr>
          <w:rFonts w:ascii="Arial" w:hAnsi="Arial" w:cs="Arial"/>
        </w:rPr>
        <w:t xml:space="preserve"> will continue as chair. The updated terms of reference will be published on the APC website</w:t>
      </w:r>
      <w:r w:rsidR="00F4499B">
        <w:t xml:space="preserve"> </w:t>
      </w:r>
    </w:p>
    <w:p w:rsidR="00955FF0" w:rsidRPr="00955FF0" w:rsidRDefault="00955FF0" w:rsidP="00955FF0">
      <w:pPr>
        <w:pStyle w:val="NoSpacing"/>
        <w:ind w:left="720"/>
        <w:jc w:val="right"/>
        <w:rPr>
          <w:rFonts w:ascii="Arial" w:hAnsi="Arial" w:cs="Arial"/>
          <w:b/>
        </w:rPr>
      </w:pPr>
      <w:r w:rsidRPr="00955FF0">
        <w:rPr>
          <w:rFonts w:ascii="Arial" w:hAnsi="Arial" w:cs="Arial"/>
          <w:b/>
        </w:rPr>
        <w:t>Action: JR</w:t>
      </w:r>
    </w:p>
    <w:p w:rsidR="0037797B" w:rsidRDefault="0037797B" w:rsidP="0037797B">
      <w:pPr>
        <w:pStyle w:val="ListParagraph"/>
      </w:pPr>
    </w:p>
    <w:p w:rsidR="007926FF" w:rsidRPr="0037797B" w:rsidRDefault="007926FF" w:rsidP="00BF6C04">
      <w:pPr>
        <w:pStyle w:val="NoSpacing"/>
        <w:numPr>
          <w:ilvl w:val="0"/>
          <w:numId w:val="13"/>
        </w:numPr>
      </w:pPr>
      <w:r w:rsidRPr="002555F9">
        <w:rPr>
          <w:rFonts w:ascii="Arial" w:hAnsi="Arial" w:cs="Arial"/>
          <w:u w:val="single"/>
        </w:rPr>
        <w:t>Colostomy bags</w:t>
      </w:r>
      <w:r w:rsidR="00316390">
        <w:rPr>
          <w:rFonts w:ascii="Arial" w:hAnsi="Arial" w:cs="Arial"/>
        </w:rPr>
        <w:t xml:space="preserve"> –</w:t>
      </w:r>
      <w:r w:rsidR="004B2652">
        <w:rPr>
          <w:rFonts w:ascii="Arial" w:hAnsi="Arial" w:cs="Arial"/>
        </w:rPr>
        <w:t xml:space="preserve"> </w:t>
      </w:r>
      <w:r w:rsidR="0044397B">
        <w:rPr>
          <w:rFonts w:ascii="Arial" w:hAnsi="Arial" w:cs="Arial"/>
        </w:rPr>
        <w:t>not discussed</w:t>
      </w:r>
    </w:p>
    <w:p w:rsidR="0037797B" w:rsidRPr="00BF6C04" w:rsidRDefault="0037797B" w:rsidP="0037797B">
      <w:pPr>
        <w:pStyle w:val="NoSpacing"/>
        <w:ind w:left="720"/>
      </w:pPr>
    </w:p>
    <w:p w:rsidR="00BF6C04" w:rsidRPr="00BF6C04" w:rsidRDefault="00BF6C04" w:rsidP="00BF6C04">
      <w:pPr>
        <w:pStyle w:val="NoSpacing"/>
        <w:numPr>
          <w:ilvl w:val="0"/>
          <w:numId w:val="13"/>
        </w:numPr>
      </w:pPr>
      <w:r>
        <w:rPr>
          <w:rFonts w:ascii="Arial" w:hAnsi="Arial" w:cs="Arial"/>
          <w:u w:val="single"/>
        </w:rPr>
        <w:t xml:space="preserve">Formulary annotation </w:t>
      </w:r>
      <w:r w:rsidR="004B2652">
        <w:rPr>
          <w:rFonts w:ascii="Arial" w:hAnsi="Arial" w:cs="Arial"/>
          <w:u w:val="single"/>
        </w:rPr>
        <w:t xml:space="preserve">will be added for </w:t>
      </w:r>
      <w:r>
        <w:rPr>
          <w:rFonts w:ascii="Arial" w:hAnsi="Arial" w:cs="Arial"/>
          <w:u w:val="single"/>
        </w:rPr>
        <w:t>Cinacalcet/Specialist Endocrinology Services</w:t>
      </w:r>
      <w:r w:rsidR="004B2652">
        <w:rPr>
          <w:rFonts w:ascii="Arial" w:hAnsi="Arial" w:cs="Arial"/>
          <w:u w:val="single"/>
        </w:rPr>
        <w:t xml:space="preserve"> </w:t>
      </w:r>
      <w:r w:rsidR="0044397B">
        <w:rPr>
          <w:rFonts w:ascii="Arial" w:hAnsi="Arial" w:cs="Arial"/>
        </w:rPr>
        <w:t>– not discussed.</w:t>
      </w:r>
    </w:p>
    <w:p w:rsidR="00BF6C04" w:rsidRDefault="00BF6C04" w:rsidP="00BF6C04">
      <w:pPr>
        <w:pStyle w:val="NoSpacing"/>
        <w:ind w:left="720"/>
      </w:pPr>
    </w:p>
    <w:p w:rsidR="00CB042E" w:rsidRDefault="00CB042E" w:rsidP="00291A2C">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5107B3" w:rsidRPr="005615FD" w:rsidRDefault="00C31534" w:rsidP="005107B3">
      <w:pPr>
        <w:pStyle w:val="NoSpacing"/>
        <w:numPr>
          <w:ilvl w:val="0"/>
          <w:numId w:val="9"/>
        </w:numPr>
        <w:ind w:left="360"/>
        <w:jc w:val="both"/>
        <w:rPr>
          <w:rFonts w:ascii="Arial" w:hAnsi="Arial" w:cs="Arial"/>
        </w:rPr>
      </w:pPr>
      <w:r w:rsidRPr="005615FD">
        <w:rPr>
          <w:rFonts w:ascii="Arial" w:hAnsi="Arial" w:cs="Arial"/>
        </w:rPr>
        <w:t xml:space="preserve">NICE TA &amp; </w:t>
      </w:r>
      <w:r w:rsidR="007E73FE" w:rsidRPr="005615FD">
        <w:rPr>
          <w:rFonts w:ascii="Arial" w:hAnsi="Arial" w:cs="Arial"/>
        </w:rPr>
        <w:t>N</w:t>
      </w:r>
      <w:r w:rsidRPr="005615FD">
        <w:rPr>
          <w:rFonts w:ascii="Arial" w:hAnsi="Arial" w:cs="Arial"/>
        </w:rPr>
        <w:t>G Updates</w:t>
      </w:r>
      <w:r w:rsidR="006A0078" w:rsidRPr="005615FD">
        <w:rPr>
          <w:rFonts w:ascii="Arial" w:hAnsi="Arial" w:cs="Arial"/>
        </w:rPr>
        <w:t xml:space="preserve"> (</w:t>
      </w:r>
      <w:r w:rsidR="00BF6C04">
        <w:rPr>
          <w:rFonts w:ascii="Arial" w:hAnsi="Arial" w:cs="Arial"/>
        </w:rPr>
        <w:t>March/April</w:t>
      </w:r>
      <w:r w:rsidR="006A0078" w:rsidRPr="005615FD">
        <w:rPr>
          <w:rFonts w:ascii="Arial" w:hAnsi="Arial" w:cs="Arial"/>
        </w:rPr>
        <w:t>)</w:t>
      </w:r>
      <w:r w:rsidR="00E469DB" w:rsidRPr="005615FD">
        <w:rPr>
          <w:rFonts w:ascii="Arial" w:hAnsi="Arial" w:cs="Arial"/>
        </w:rPr>
        <w:t xml:space="preserve">.  </w:t>
      </w:r>
      <w:r w:rsidR="005615FD">
        <w:rPr>
          <w:rFonts w:ascii="Arial" w:hAnsi="Arial" w:cs="Arial"/>
        </w:rPr>
        <w:t>NICE guidance discussed:</w:t>
      </w:r>
    </w:p>
    <w:p w:rsidR="00717DCC" w:rsidRDefault="00717DCC" w:rsidP="005107B3">
      <w:pPr>
        <w:pStyle w:val="No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3"/>
        <w:gridCol w:w="4102"/>
        <w:gridCol w:w="4102"/>
      </w:tblGrid>
      <w:tr w:rsidR="00796C29" w:rsidRPr="003036B1"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IPG578</w:t>
            </w:r>
          </w:p>
        </w:tc>
        <w:tc>
          <w:tcPr>
            <w:tcW w:w="4102" w:type="dxa"/>
            <w:tcMar>
              <w:top w:w="0" w:type="dxa"/>
              <w:left w:w="108" w:type="dxa"/>
              <w:bottom w:w="0" w:type="dxa"/>
              <w:right w:w="108" w:type="dxa"/>
            </w:tcMar>
            <w:vAlign w:val="center"/>
          </w:tcPr>
          <w:p w:rsidR="00796C29" w:rsidRPr="003036B1" w:rsidRDefault="00E34F35" w:rsidP="006C7A90">
            <w:pPr>
              <w:spacing w:after="200" w:line="276" w:lineRule="auto"/>
            </w:pPr>
            <w:hyperlink r:id="rId10" w:history="1">
              <w:r w:rsidR="00796C29" w:rsidRPr="00317227">
                <w:rPr>
                  <w:rStyle w:val="Hyperlink"/>
                </w:rPr>
                <w:t>Minimally invasive sacroiliac joint fusion surgery for chronic sacroiliac pain</w:t>
              </w:r>
            </w:hyperlink>
          </w:p>
        </w:tc>
        <w:tc>
          <w:tcPr>
            <w:tcW w:w="4102" w:type="dxa"/>
          </w:tcPr>
          <w:p w:rsidR="00796C29" w:rsidRDefault="00796C29" w:rsidP="006C7A90">
            <w:pPr>
              <w:spacing w:after="200" w:line="276" w:lineRule="auto"/>
            </w:pPr>
            <w:r>
              <w:t>Noted</w:t>
            </w:r>
          </w:p>
        </w:tc>
      </w:tr>
      <w:tr w:rsidR="00796C29" w:rsidRPr="003036B1"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NG68</w:t>
            </w:r>
          </w:p>
        </w:tc>
        <w:tc>
          <w:tcPr>
            <w:tcW w:w="4102" w:type="dxa"/>
            <w:tcMar>
              <w:top w:w="0" w:type="dxa"/>
              <w:left w:w="108" w:type="dxa"/>
              <w:bottom w:w="0" w:type="dxa"/>
              <w:right w:w="108" w:type="dxa"/>
            </w:tcMar>
            <w:vAlign w:val="center"/>
          </w:tcPr>
          <w:p w:rsidR="00796C29" w:rsidRPr="003036B1" w:rsidRDefault="00E34F35" w:rsidP="006C7A90">
            <w:pPr>
              <w:spacing w:after="200" w:line="276" w:lineRule="auto"/>
            </w:pPr>
            <w:hyperlink r:id="rId11" w:history="1">
              <w:r w:rsidR="00796C29" w:rsidRPr="00317227">
                <w:rPr>
                  <w:rStyle w:val="Hyperlink"/>
                </w:rPr>
                <w:t>Sexually transmitted infections: condom distribution schemes</w:t>
              </w:r>
            </w:hyperlink>
          </w:p>
        </w:tc>
        <w:tc>
          <w:tcPr>
            <w:tcW w:w="4102" w:type="dxa"/>
          </w:tcPr>
          <w:p w:rsidR="00796C29" w:rsidRDefault="00796C29" w:rsidP="006C7A90">
            <w:pPr>
              <w:spacing w:after="200" w:line="276" w:lineRule="auto"/>
            </w:pPr>
            <w:r>
              <w:t>Noted</w:t>
            </w:r>
          </w:p>
        </w:tc>
      </w:tr>
      <w:tr w:rsidR="00796C29" w:rsidRPr="00D6394A"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TA440</w:t>
            </w:r>
          </w:p>
        </w:tc>
        <w:tc>
          <w:tcPr>
            <w:tcW w:w="4102" w:type="dxa"/>
            <w:tcMar>
              <w:top w:w="0" w:type="dxa"/>
              <w:left w:w="108" w:type="dxa"/>
              <w:bottom w:w="0" w:type="dxa"/>
              <w:right w:w="108" w:type="dxa"/>
            </w:tcMar>
          </w:tcPr>
          <w:p w:rsidR="00796C29" w:rsidRPr="00D6394A" w:rsidRDefault="00E34F35" w:rsidP="006C7A90">
            <w:pPr>
              <w:rPr>
                <w:color w:val="4A4A4A"/>
              </w:rPr>
            </w:pPr>
            <w:hyperlink r:id="rId12" w:history="1">
              <w:r w:rsidR="00796C29" w:rsidRPr="00317227">
                <w:rPr>
                  <w:rStyle w:val="Hyperlink"/>
                </w:rPr>
                <w:t>Pegylated liposomal irinotecan for treating pancreatic cancer after gemcitabine</w:t>
              </w:r>
            </w:hyperlink>
          </w:p>
        </w:tc>
        <w:tc>
          <w:tcPr>
            <w:tcW w:w="4102" w:type="dxa"/>
          </w:tcPr>
          <w:p w:rsidR="00796C29" w:rsidRDefault="00796C29" w:rsidP="006C7A90">
            <w:r>
              <w:t>Not recommended by NICE</w:t>
            </w:r>
          </w:p>
        </w:tc>
      </w:tr>
      <w:tr w:rsidR="00796C29" w:rsidRPr="00D6394A" w:rsidTr="00EB4768">
        <w:trPr>
          <w:cantSplit/>
          <w:trHeight w:val="752"/>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TA441</w:t>
            </w:r>
          </w:p>
        </w:tc>
        <w:tc>
          <w:tcPr>
            <w:tcW w:w="4102" w:type="dxa"/>
            <w:tcMar>
              <w:top w:w="0" w:type="dxa"/>
              <w:left w:w="108" w:type="dxa"/>
              <w:bottom w:w="0" w:type="dxa"/>
              <w:right w:w="108" w:type="dxa"/>
            </w:tcMar>
          </w:tcPr>
          <w:p w:rsidR="00796C29" w:rsidRPr="00D6394A" w:rsidRDefault="00E34F35" w:rsidP="006C7A90">
            <w:pPr>
              <w:spacing w:beforeLines="20" w:before="48" w:afterLines="20" w:after="48" w:line="360" w:lineRule="atLeast"/>
              <w:rPr>
                <w:color w:val="4A4A4A"/>
                <w:sz w:val="22"/>
                <w:szCs w:val="22"/>
              </w:rPr>
            </w:pPr>
            <w:hyperlink r:id="rId13" w:history="1">
              <w:r w:rsidR="00796C29" w:rsidRPr="00317227">
                <w:rPr>
                  <w:rStyle w:val="Hyperlink"/>
                  <w:sz w:val="22"/>
                  <w:szCs w:val="22"/>
                </w:rPr>
                <w:t>Daclizumab for treating relapsing–remitting multiple sclerosis</w:t>
              </w:r>
            </w:hyperlink>
          </w:p>
        </w:tc>
        <w:tc>
          <w:tcPr>
            <w:tcW w:w="4102" w:type="dxa"/>
          </w:tcPr>
          <w:p w:rsidR="00796C29" w:rsidRDefault="00796C29" w:rsidP="006C7A90">
            <w:pPr>
              <w:spacing w:beforeLines="20" w:before="48" w:afterLines="20" w:after="48" w:line="360" w:lineRule="atLeast"/>
            </w:pPr>
            <w:r>
              <w:t xml:space="preserve">Specialist initiation and maintenance of prescribing </w:t>
            </w:r>
          </w:p>
        </w:tc>
      </w:tr>
      <w:tr w:rsidR="00796C29" w:rsidRPr="00D6394A"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TA442</w:t>
            </w:r>
          </w:p>
        </w:tc>
        <w:tc>
          <w:tcPr>
            <w:tcW w:w="4102" w:type="dxa"/>
            <w:tcMar>
              <w:top w:w="0" w:type="dxa"/>
              <w:left w:w="108" w:type="dxa"/>
              <w:bottom w:w="0" w:type="dxa"/>
              <w:right w:w="108" w:type="dxa"/>
            </w:tcMar>
          </w:tcPr>
          <w:p w:rsidR="00796C29" w:rsidRPr="00D6394A" w:rsidRDefault="00E34F35" w:rsidP="006C7A90">
            <w:pPr>
              <w:rPr>
                <w:color w:val="4A4A4A"/>
              </w:rPr>
            </w:pPr>
            <w:hyperlink r:id="rId14" w:history="1">
              <w:r w:rsidR="00796C29" w:rsidRPr="00317227">
                <w:rPr>
                  <w:rStyle w:val="Hyperlink"/>
                </w:rPr>
                <w:t>Ixekizumab for treating moderate to severe plaque psoriasis</w:t>
              </w:r>
            </w:hyperlink>
          </w:p>
        </w:tc>
        <w:tc>
          <w:tcPr>
            <w:tcW w:w="4102" w:type="dxa"/>
          </w:tcPr>
          <w:p w:rsidR="00796C29" w:rsidRDefault="00796C29" w:rsidP="006C7A90">
            <w:r>
              <w:t>Recommended and will be added to formulary in line with NICE TA approval schedule</w:t>
            </w:r>
          </w:p>
        </w:tc>
      </w:tr>
      <w:tr w:rsidR="00796C29" w:rsidRPr="00D6394A"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TA443</w:t>
            </w:r>
          </w:p>
        </w:tc>
        <w:tc>
          <w:tcPr>
            <w:tcW w:w="4102" w:type="dxa"/>
            <w:tcMar>
              <w:top w:w="0" w:type="dxa"/>
              <w:left w:w="108" w:type="dxa"/>
              <w:bottom w:w="0" w:type="dxa"/>
              <w:right w:w="108" w:type="dxa"/>
            </w:tcMar>
          </w:tcPr>
          <w:p w:rsidR="00796C29" w:rsidRPr="00D6394A" w:rsidRDefault="00E34F35" w:rsidP="006C7A90">
            <w:hyperlink r:id="rId15" w:history="1">
              <w:r w:rsidR="00796C29" w:rsidRPr="00317227">
                <w:rPr>
                  <w:rStyle w:val="Hyperlink"/>
                </w:rPr>
                <w:t>Obeticholic acid for treating primary biliary cholangitis</w:t>
              </w:r>
            </w:hyperlink>
          </w:p>
        </w:tc>
        <w:tc>
          <w:tcPr>
            <w:tcW w:w="4102" w:type="dxa"/>
          </w:tcPr>
          <w:p w:rsidR="00796C29" w:rsidRDefault="00796C29" w:rsidP="006C7A90">
            <w:r>
              <w:t>Recommended and will be added to formulary in line with NICE TA approval schedule</w:t>
            </w:r>
          </w:p>
        </w:tc>
      </w:tr>
      <w:tr w:rsidR="00796C29" w:rsidRPr="00D6394A"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CG100</w:t>
            </w:r>
          </w:p>
        </w:tc>
        <w:tc>
          <w:tcPr>
            <w:tcW w:w="4102" w:type="dxa"/>
            <w:tcMar>
              <w:top w:w="0" w:type="dxa"/>
              <w:left w:w="108" w:type="dxa"/>
              <w:bottom w:w="0" w:type="dxa"/>
              <w:right w:w="108" w:type="dxa"/>
            </w:tcMar>
          </w:tcPr>
          <w:p w:rsidR="00796C29" w:rsidRPr="00D6394A" w:rsidRDefault="00E34F35" w:rsidP="006C7A90">
            <w:pPr>
              <w:spacing w:beforeLines="20" w:before="48" w:afterLines="20" w:after="48" w:line="360" w:lineRule="atLeast"/>
              <w:rPr>
                <w:color w:val="4A4A4A"/>
                <w:sz w:val="22"/>
                <w:szCs w:val="22"/>
              </w:rPr>
            </w:pPr>
            <w:hyperlink r:id="rId16" w:history="1">
              <w:r w:rsidR="00796C29" w:rsidRPr="008E5A9C">
                <w:rPr>
                  <w:rStyle w:val="Hyperlink"/>
                  <w:sz w:val="22"/>
                  <w:szCs w:val="22"/>
                </w:rPr>
                <w:t>Alcohol-use disorders: diagnosis and management of physical complications</w:t>
              </w:r>
            </w:hyperlink>
          </w:p>
        </w:tc>
        <w:tc>
          <w:tcPr>
            <w:tcW w:w="4102" w:type="dxa"/>
          </w:tcPr>
          <w:p w:rsidR="00796C29" w:rsidRDefault="00796C29" w:rsidP="006C7A90">
            <w:pPr>
              <w:spacing w:beforeLines="20" w:before="48" w:afterLines="20" w:after="48" w:line="360" w:lineRule="atLeast"/>
            </w:pPr>
            <w:r>
              <w:t>Noted. Pharmacological recommendations already available in local formulary</w:t>
            </w:r>
          </w:p>
        </w:tc>
      </w:tr>
      <w:tr w:rsidR="00796C29" w:rsidRPr="00D6394A" w:rsidTr="00EB4768">
        <w:trPr>
          <w:cantSplit/>
          <w:trHeight w:val="20"/>
          <w:jc w:val="center"/>
        </w:trPr>
        <w:tc>
          <w:tcPr>
            <w:tcW w:w="0" w:type="auto"/>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CG61</w:t>
            </w:r>
          </w:p>
        </w:tc>
        <w:tc>
          <w:tcPr>
            <w:tcW w:w="4102" w:type="dxa"/>
            <w:tcMar>
              <w:top w:w="0" w:type="dxa"/>
              <w:left w:w="108" w:type="dxa"/>
              <w:bottom w:w="0" w:type="dxa"/>
              <w:right w:w="108" w:type="dxa"/>
            </w:tcMar>
          </w:tcPr>
          <w:p w:rsidR="00796C29" w:rsidRPr="00D6394A" w:rsidRDefault="00796C29" w:rsidP="006C7A90">
            <w:pPr>
              <w:spacing w:beforeLines="20" w:before="48" w:afterLines="20" w:after="48" w:line="360" w:lineRule="atLeast"/>
              <w:rPr>
                <w:color w:val="4A4A4A"/>
                <w:sz w:val="22"/>
                <w:szCs w:val="22"/>
              </w:rPr>
            </w:pPr>
            <w:r>
              <w:rPr>
                <w:color w:val="4A4A4A"/>
                <w:sz w:val="22"/>
                <w:szCs w:val="22"/>
              </w:rPr>
              <w:t xml:space="preserve">UPDATE </w:t>
            </w:r>
            <w:hyperlink r:id="rId17" w:history="1">
              <w:r w:rsidRPr="008E5A9C">
                <w:rPr>
                  <w:rStyle w:val="Hyperlink"/>
                  <w:sz w:val="22"/>
                  <w:szCs w:val="22"/>
                </w:rPr>
                <w:t>Irritable bowel syndrome in adults: diagnosis and management</w:t>
              </w:r>
            </w:hyperlink>
          </w:p>
        </w:tc>
        <w:tc>
          <w:tcPr>
            <w:tcW w:w="4102" w:type="dxa"/>
          </w:tcPr>
          <w:p w:rsidR="00796C29" w:rsidRDefault="00796C29" w:rsidP="006C7A90">
            <w:pPr>
              <w:spacing w:beforeLines="20" w:before="48" w:afterLines="20" w:after="48" w:line="360" w:lineRule="atLeast"/>
              <w:rPr>
                <w:color w:val="4A4A4A"/>
                <w:sz w:val="22"/>
                <w:szCs w:val="22"/>
              </w:rPr>
            </w:pPr>
            <w:r>
              <w:rPr>
                <w:color w:val="4A4A4A"/>
                <w:sz w:val="22"/>
                <w:szCs w:val="22"/>
              </w:rPr>
              <w:t>Noted</w:t>
            </w:r>
          </w:p>
        </w:tc>
      </w:tr>
    </w:tbl>
    <w:p w:rsidR="00717DCC" w:rsidRDefault="00717DCC" w:rsidP="005107B3">
      <w:pPr>
        <w:pStyle w:val="NoSpacing"/>
        <w:jc w:val="both"/>
        <w:rPr>
          <w:rFonts w:ascii="Arial" w:hAnsi="Arial" w:cs="Arial"/>
        </w:rPr>
      </w:pPr>
    </w:p>
    <w:p w:rsidR="00CB2F21" w:rsidRDefault="009110B3" w:rsidP="005107B3">
      <w:pPr>
        <w:pStyle w:val="NoSpacing"/>
        <w:jc w:val="both"/>
        <w:rPr>
          <w:rFonts w:ascii="Arial" w:hAnsi="Arial" w:cs="Arial"/>
        </w:rPr>
      </w:pPr>
      <w:r w:rsidRPr="006A0078">
        <w:rPr>
          <w:rFonts w:ascii="Arial" w:hAnsi="Arial" w:cs="Arial"/>
        </w:rPr>
        <w:t xml:space="preserve">  </w:t>
      </w:r>
    </w:p>
    <w:p w:rsidR="00A74952" w:rsidRDefault="00E35CE0" w:rsidP="00E35CE0">
      <w:pPr>
        <w:pStyle w:val="NoSpacing"/>
        <w:rPr>
          <w:rFonts w:ascii="Arial" w:hAnsi="Arial" w:cs="Arial"/>
        </w:rPr>
      </w:pPr>
      <w:r>
        <w:rPr>
          <w:rFonts w:ascii="Arial" w:hAnsi="Arial" w:cs="Arial"/>
        </w:rPr>
        <w:t xml:space="preserve">It was agreed that the drugs with </w:t>
      </w:r>
      <w:r w:rsidR="00A74952">
        <w:rPr>
          <w:rFonts w:ascii="Arial" w:hAnsi="Arial" w:cs="Arial"/>
        </w:rPr>
        <w:t xml:space="preserve"> positive NICE TA</w:t>
      </w:r>
      <w:r>
        <w:rPr>
          <w:rFonts w:ascii="Arial" w:hAnsi="Arial" w:cs="Arial"/>
        </w:rPr>
        <w:t>s</w:t>
      </w:r>
      <w:r w:rsidR="00796C29">
        <w:rPr>
          <w:rFonts w:ascii="Arial" w:hAnsi="Arial" w:cs="Arial"/>
        </w:rPr>
        <w:t xml:space="preserve"> were approved for inclusion in the formulary</w:t>
      </w:r>
      <w:r w:rsidR="00A74952">
        <w:rPr>
          <w:rFonts w:ascii="Arial" w:hAnsi="Arial" w:cs="Arial"/>
        </w:rPr>
        <w:t>.  March TAs would be reviewed by Paul and he would circulate if there were any appropriate</w:t>
      </w:r>
      <w:r>
        <w:rPr>
          <w:rFonts w:ascii="Arial" w:hAnsi="Arial" w:cs="Arial"/>
        </w:rPr>
        <w:t xml:space="preserve"> for the committee</w:t>
      </w:r>
      <w:r w:rsidR="00A74952">
        <w:rPr>
          <w:rFonts w:ascii="Arial" w:hAnsi="Arial" w:cs="Arial"/>
        </w:rPr>
        <w:t>.</w:t>
      </w:r>
    </w:p>
    <w:p w:rsidR="00E35CE0" w:rsidRPr="00E35CE0" w:rsidRDefault="00E35CE0" w:rsidP="00E35CE0">
      <w:pPr>
        <w:pStyle w:val="NoSpacing"/>
        <w:jc w:val="right"/>
        <w:rPr>
          <w:rFonts w:ascii="Arial" w:hAnsi="Arial" w:cs="Arial"/>
          <w:b/>
        </w:rPr>
      </w:pPr>
      <w:r w:rsidRPr="00E35CE0">
        <w:rPr>
          <w:rFonts w:ascii="Arial" w:hAnsi="Arial" w:cs="Arial"/>
          <w:b/>
        </w:rPr>
        <w:t>Action: PF</w:t>
      </w:r>
    </w:p>
    <w:p w:rsidR="00A74952" w:rsidRDefault="00A74952" w:rsidP="005107B3">
      <w:pPr>
        <w:pStyle w:val="NoSpacing"/>
        <w:jc w:val="both"/>
        <w:rPr>
          <w:rFonts w:ascii="Arial" w:hAnsi="Arial" w:cs="Arial"/>
        </w:rPr>
      </w:pPr>
    </w:p>
    <w:p w:rsidR="004C1C05" w:rsidRDefault="006A0078" w:rsidP="00BF6C04">
      <w:pPr>
        <w:pStyle w:val="NoSpacing"/>
        <w:numPr>
          <w:ilvl w:val="0"/>
          <w:numId w:val="9"/>
        </w:numPr>
        <w:ind w:left="360"/>
        <w:jc w:val="both"/>
        <w:rPr>
          <w:rFonts w:ascii="Arial" w:hAnsi="Arial" w:cs="Arial"/>
        </w:rPr>
      </w:pPr>
      <w:r w:rsidRPr="00C25C3E">
        <w:rPr>
          <w:rFonts w:ascii="Arial" w:hAnsi="Arial" w:cs="Arial"/>
          <w:u w:val="single"/>
        </w:rPr>
        <w:t>Net.formulary</w:t>
      </w:r>
      <w:r w:rsidR="005107B3">
        <w:rPr>
          <w:rFonts w:ascii="Arial" w:hAnsi="Arial" w:cs="Arial"/>
        </w:rPr>
        <w:t xml:space="preserve"> –</w:t>
      </w:r>
      <w:r w:rsidR="00A74952">
        <w:rPr>
          <w:rFonts w:ascii="Arial" w:hAnsi="Arial" w:cs="Arial"/>
        </w:rPr>
        <w:t xml:space="preserve"> a requisition has been generated and an order was being placed by our Procurement Team.  Population</w:t>
      </w:r>
      <w:r w:rsidR="00E35CE0">
        <w:rPr>
          <w:rFonts w:ascii="Arial" w:hAnsi="Arial" w:cs="Arial"/>
        </w:rPr>
        <w:t xml:space="preserve"> of this </w:t>
      </w:r>
      <w:r w:rsidR="00A74952">
        <w:rPr>
          <w:rFonts w:ascii="Arial" w:hAnsi="Arial" w:cs="Arial"/>
        </w:rPr>
        <w:t xml:space="preserve">would </w:t>
      </w:r>
      <w:r w:rsidR="00796C29">
        <w:rPr>
          <w:rFonts w:ascii="Arial" w:hAnsi="Arial" w:cs="Arial"/>
        </w:rPr>
        <w:t>be in line with current formulary and updated with each review of a chapter</w:t>
      </w:r>
      <w:r w:rsidR="00A74952">
        <w:rPr>
          <w:rFonts w:ascii="Arial" w:hAnsi="Arial" w:cs="Arial"/>
        </w:rPr>
        <w:t>.</w:t>
      </w:r>
    </w:p>
    <w:p w:rsidR="00CB2F21" w:rsidRDefault="00CB2F21"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BF6C04" w:rsidRPr="00E35CE0" w:rsidRDefault="0079014D" w:rsidP="00E35CE0">
      <w:pPr>
        <w:pStyle w:val="NoSpacing"/>
        <w:numPr>
          <w:ilvl w:val="0"/>
          <w:numId w:val="6"/>
        </w:numPr>
        <w:suppressAutoHyphens w:val="0"/>
        <w:spacing w:line="240" w:lineRule="auto"/>
        <w:ind w:left="360"/>
        <w:rPr>
          <w:rFonts w:ascii="Arial" w:hAnsi="Arial" w:cs="Arial"/>
          <w:b/>
        </w:rPr>
      </w:pPr>
      <w:r w:rsidRPr="003334E0">
        <w:rPr>
          <w:rFonts w:ascii="Arial" w:hAnsi="Arial" w:cs="Arial"/>
          <w:u w:val="single"/>
        </w:rPr>
        <w:t>Ivermectin</w:t>
      </w:r>
      <w:r w:rsidRPr="003334E0">
        <w:rPr>
          <w:rFonts w:ascii="Arial" w:hAnsi="Arial" w:cs="Arial"/>
        </w:rPr>
        <w:t xml:space="preserve"> – </w:t>
      </w:r>
      <w:r w:rsidR="00A74952">
        <w:rPr>
          <w:rFonts w:ascii="Arial" w:hAnsi="Arial" w:cs="Arial"/>
        </w:rPr>
        <w:t xml:space="preserve">responses received to Dr Samuel’s questions.  </w:t>
      </w:r>
      <w:r w:rsidR="00C52746">
        <w:rPr>
          <w:rFonts w:ascii="Arial" w:hAnsi="Arial" w:cs="Arial"/>
        </w:rPr>
        <w:t>It was agreed that there was not sufficient evidence to include this in the formulary</w:t>
      </w:r>
      <w:r w:rsidR="00E35CE0">
        <w:rPr>
          <w:rFonts w:ascii="Arial" w:hAnsi="Arial" w:cs="Arial"/>
        </w:rPr>
        <w:t xml:space="preserve"> and the request would be rejected.  Requestor to be informed (Dr Butt).</w:t>
      </w:r>
    </w:p>
    <w:p w:rsidR="00E35CE0" w:rsidRPr="00E35CE0" w:rsidRDefault="00E35CE0" w:rsidP="00E35CE0">
      <w:pPr>
        <w:pStyle w:val="NoSpacing"/>
        <w:suppressAutoHyphens w:val="0"/>
        <w:spacing w:line="240" w:lineRule="auto"/>
        <w:ind w:left="360"/>
        <w:jc w:val="right"/>
        <w:rPr>
          <w:rFonts w:ascii="Arial" w:hAnsi="Arial" w:cs="Arial"/>
          <w:b/>
        </w:rPr>
      </w:pPr>
      <w:r w:rsidRPr="00E35CE0">
        <w:rPr>
          <w:rFonts w:ascii="Arial" w:hAnsi="Arial" w:cs="Arial"/>
          <w:b/>
        </w:rPr>
        <w:t xml:space="preserve">Action: </w:t>
      </w:r>
      <w:r w:rsidR="006B233D">
        <w:rPr>
          <w:rFonts w:ascii="Arial" w:hAnsi="Arial" w:cs="Arial"/>
          <w:b/>
        </w:rPr>
        <w:t>AT</w:t>
      </w:r>
    </w:p>
    <w:p w:rsidR="002555F9" w:rsidRPr="003334E0" w:rsidRDefault="002555F9" w:rsidP="002555F9">
      <w:pPr>
        <w:pStyle w:val="NoSpacing"/>
        <w:suppressAutoHyphens w:val="0"/>
        <w:spacing w:line="240" w:lineRule="auto"/>
        <w:ind w:left="360"/>
        <w:jc w:val="right"/>
        <w:rPr>
          <w:rFonts w:ascii="Arial" w:hAnsi="Arial" w:cs="Arial"/>
          <w:b/>
        </w:rPr>
      </w:pPr>
    </w:p>
    <w:p w:rsidR="00E35CE0" w:rsidRPr="00E35CE0" w:rsidRDefault="006A0078" w:rsidP="00E35CE0">
      <w:pPr>
        <w:pStyle w:val="NoSpacing"/>
        <w:numPr>
          <w:ilvl w:val="0"/>
          <w:numId w:val="6"/>
        </w:numPr>
        <w:suppressAutoHyphens w:val="0"/>
        <w:spacing w:line="240" w:lineRule="auto"/>
        <w:ind w:left="360"/>
      </w:pPr>
      <w:r w:rsidRPr="003334E0">
        <w:rPr>
          <w:rFonts w:ascii="Arial" w:hAnsi="Arial" w:cs="Arial"/>
          <w:u w:val="single"/>
        </w:rPr>
        <w:t>Enstilr</w:t>
      </w:r>
      <w:r w:rsidR="00C25C3E" w:rsidRPr="003334E0">
        <w:rPr>
          <w:rFonts w:ascii="Arial" w:hAnsi="Arial" w:cs="Arial"/>
          <w:u w:val="single"/>
        </w:rPr>
        <w:t xml:space="preserve"> </w:t>
      </w:r>
      <w:r w:rsidR="00C25C3E" w:rsidRPr="003334E0">
        <w:rPr>
          <w:rFonts w:ascii="Arial" w:hAnsi="Arial" w:cs="Arial"/>
        </w:rPr>
        <w:t>–</w:t>
      </w:r>
      <w:r w:rsidR="00E35CE0">
        <w:rPr>
          <w:rFonts w:ascii="Arial" w:hAnsi="Arial" w:cs="Arial"/>
        </w:rPr>
        <w:t xml:space="preserve"> It was agreed that </w:t>
      </w:r>
      <w:r w:rsidR="00796C29">
        <w:rPr>
          <w:rFonts w:ascii="Arial" w:hAnsi="Arial" w:cs="Arial"/>
        </w:rPr>
        <w:t xml:space="preserve">more detailed </w:t>
      </w:r>
      <w:r w:rsidR="00E35CE0">
        <w:rPr>
          <w:rFonts w:ascii="Arial" w:hAnsi="Arial" w:cs="Arial"/>
        </w:rPr>
        <w:t xml:space="preserve">responses to the comments </w:t>
      </w:r>
      <w:r w:rsidR="00796C29">
        <w:rPr>
          <w:rFonts w:ascii="Arial" w:hAnsi="Arial" w:cs="Arial"/>
        </w:rPr>
        <w:t>raised by</w:t>
      </w:r>
      <w:r w:rsidR="00E35CE0">
        <w:rPr>
          <w:rFonts w:ascii="Arial" w:hAnsi="Arial" w:cs="Arial"/>
        </w:rPr>
        <w:t xml:space="preserve"> Dr Samuel </w:t>
      </w:r>
      <w:r w:rsidR="00796C29">
        <w:rPr>
          <w:rFonts w:ascii="Arial" w:hAnsi="Arial" w:cs="Arial"/>
        </w:rPr>
        <w:t xml:space="preserve">were </w:t>
      </w:r>
      <w:r w:rsidR="00B04065">
        <w:rPr>
          <w:rFonts w:ascii="Arial" w:hAnsi="Arial" w:cs="Arial"/>
        </w:rPr>
        <w:t>required</w:t>
      </w:r>
      <w:r w:rsidR="00E35CE0">
        <w:rPr>
          <w:rFonts w:ascii="Arial" w:hAnsi="Arial" w:cs="Arial"/>
        </w:rPr>
        <w:t xml:space="preserve"> and Aliya Turk would take this up with him.</w:t>
      </w:r>
    </w:p>
    <w:p w:rsidR="001139F0" w:rsidRPr="00E35CE0" w:rsidRDefault="00E35CE0" w:rsidP="00E35CE0">
      <w:pPr>
        <w:pStyle w:val="NoSpacing"/>
        <w:suppressAutoHyphens w:val="0"/>
        <w:spacing w:line="240" w:lineRule="auto"/>
        <w:ind w:left="360"/>
        <w:jc w:val="right"/>
        <w:rPr>
          <w:b/>
        </w:rPr>
      </w:pPr>
      <w:r w:rsidRPr="00E35CE0">
        <w:rPr>
          <w:rFonts w:ascii="Arial" w:hAnsi="Arial" w:cs="Arial"/>
          <w:b/>
        </w:rPr>
        <w:t>Action: A</w:t>
      </w:r>
      <w:r w:rsidR="006B233D">
        <w:rPr>
          <w:rFonts w:ascii="Arial" w:hAnsi="Arial" w:cs="Arial"/>
          <w:b/>
        </w:rPr>
        <w:t>T</w:t>
      </w:r>
      <w:r w:rsidR="00C52746" w:rsidRPr="00E35CE0">
        <w:rPr>
          <w:rFonts w:ascii="Arial" w:hAnsi="Arial" w:cs="Arial"/>
          <w:b/>
        </w:rPr>
        <w:t xml:space="preserve"> </w:t>
      </w:r>
    </w:p>
    <w:p w:rsidR="00C25C3E" w:rsidRPr="003334E0" w:rsidRDefault="006A0078" w:rsidP="002F6622">
      <w:pPr>
        <w:pStyle w:val="NoSpacing"/>
        <w:numPr>
          <w:ilvl w:val="0"/>
          <w:numId w:val="6"/>
        </w:numPr>
        <w:suppressAutoHyphens w:val="0"/>
        <w:spacing w:line="240" w:lineRule="auto"/>
        <w:ind w:left="360"/>
        <w:rPr>
          <w:rFonts w:ascii="Arial" w:hAnsi="Arial" w:cs="Arial"/>
        </w:rPr>
      </w:pPr>
      <w:r w:rsidRPr="003334E0">
        <w:rPr>
          <w:rFonts w:ascii="Arial" w:hAnsi="Arial" w:cs="Arial"/>
          <w:u w:val="single"/>
        </w:rPr>
        <w:t>Entresto</w:t>
      </w:r>
      <w:r w:rsidR="005107B3" w:rsidRPr="003334E0">
        <w:rPr>
          <w:rFonts w:ascii="Arial" w:hAnsi="Arial" w:cs="Arial"/>
        </w:rPr>
        <w:t xml:space="preserve"> – </w:t>
      </w:r>
      <w:r w:rsidR="00796C29">
        <w:rPr>
          <w:rFonts w:ascii="Arial" w:hAnsi="Arial" w:cs="Arial"/>
        </w:rPr>
        <w:t xml:space="preserve">heart failure pathway. </w:t>
      </w:r>
      <w:r w:rsidR="00CB7F4C">
        <w:rPr>
          <w:rFonts w:ascii="Arial" w:hAnsi="Arial" w:cs="Arial"/>
        </w:rPr>
        <w:t xml:space="preserve">Now that Aliya Turk is in post she will take this up with </w:t>
      </w:r>
      <w:r w:rsidR="002F6622">
        <w:rPr>
          <w:rFonts w:ascii="Arial" w:hAnsi="Arial" w:cs="Arial"/>
        </w:rPr>
        <w:t xml:space="preserve">Dr Thackray, Consultant </w:t>
      </w:r>
      <w:r w:rsidR="00B04065">
        <w:rPr>
          <w:rFonts w:ascii="Arial" w:hAnsi="Arial" w:cs="Arial"/>
        </w:rPr>
        <w:t>Cardiologist</w:t>
      </w:r>
      <w:r w:rsidR="002F6622">
        <w:rPr>
          <w:rFonts w:ascii="Arial" w:hAnsi="Arial" w:cs="Arial"/>
        </w:rPr>
        <w:t>.</w:t>
      </w:r>
    </w:p>
    <w:p w:rsidR="00CC3B73" w:rsidRPr="002F6622" w:rsidRDefault="002F6622" w:rsidP="002F6622">
      <w:pPr>
        <w:pStyle w:val="NoSpacing"/>
        <w:suppressAutoHyphens w:val="0"/>
        <w:spacing w:line="240" w:lineRule="auto"/>
        <w:ind w:left="360"/>
        <w:jc w:val="right"/>
        <w:rPr>
          <w:rFonts w:ascii="Arial" w:hAnsi="Arial" w:cs="Arial"/>
          <w:b/>
        </w:rPr>
      </w:pPr>
      <w:r w:rsidRPr="002F6622">
        <w:rPr>
          <w:rFonts w:ascii="Arial" w:hAnsi="Arial" w:cs="Arial"/>
          <w:b/>
        </w:rPr>
        <w:t>Action: A</w:t>
      </w:r>
      <w:r w:rsidR="006B233D">
        <w:rPr>
          <w:rFonts w:ascii="Arial" w:hAnsi="Arial" w:cs="Arial"/>
          <w:b/>
        </w:rPr>
        <w:t>T</w:t>
      </w:r>
    </w:p>
    <w:p w:rsidR="002F6622" w:rsidRPr="003334E0" w:rsidRDefault="002F6622" w:rsidP="00CC3B73">
      <w:pPr>
        <w:pStyle w:val="NoSpacing"/>
        <w:suppressAutoHyphens w:val="0"/>
        <w:spacing w:line="240" w:lineRule="auto"/>
        <w:ind w:left="360"/>
        <w:jc w:val="both"/>
        <w:rPr>
          <w:rFonts w:ascii="Arial" w:hAnsi="Arial" w:cs="Arial"/>
        </w:rPr>
      </w:pPr>
    </w:p>
    <w:p w:rsidR="00C25C3E" w:rsidRDefault="006A0078" w:rsidP="007926FF">
      <w:pPr>
        <w:pStyle w:val="NoSpacing"/>
        <w:numPr>
          <w:ilvl w:val="0"/>
          <w:numId w:val="6"/>
        </w:numPr>
        <w:suppressAutoHyphens w:val="0"/>
        <w:spacing w:line="240" w:lineRule="auto"/>
        <w:ind w:left="360"/>
        <w:jc w:val="both"/>
        <w:rPr>
          <w:rFonts w:ascii="Arial" w:hAnsi="Arial" w:cs="Arial"/>
        </w:rPr>
      </w:pPr>
      <w:r w:rsidRPr="003334E0">
        <w:rPr>
          <w:rFonts w:ascii="Arial" w:hAnsi="Arial" w:cs="Arial"/>
          <w:u w:val="single"/>
        </w:rPr>
        <w:t>Abasag</w:t>
      </w:r>
      <w:r w:rsidR="0060260D" w:rsidRPr="003334E0">
        <w:rPr>
          <w:rFonts w:ascii="Arial" w:hAnsi="Arial" w:cs="Arial"/>
          <w:u w:val="single"/>
        </w:rPr>
        <w:t>lar</w:t>
      </w:r>
      <w:r w:rsidR="005107B3" w:rsidRPr="003334E0">
        <w:rPr>
          <w:rFonts w:ascii="Arial" w:hAnsi="Arial" w:cs="Arial"/>
        </w:rPr>
        <w:t xml:space="preserve"> </w:t>
      </w:r>
      <w:r w:rsidR="00796C29">
        <w:rPr>
          <w:rFonts w:ascii="Arial" w:hAnsi="Arial" w:cs="Arial"/>
        </w:rPr>
        <w:t xml:space="preserve">(insulin </w:t>
      </w:r>
      <w:r w:rsidR="00B04065">
        <w:rPr>
          <w:rFonts w:ascii="Arial" w:hAnsi="Arial" w:cs="Arial"/>
        </w:rPr>
        <w:t>glargine</w:t>
      </w:r>
      <w:r w:rsidR="00796C29">
        <w:rPr>
          <w:rFonts w:ascii="Arial" w:hAnsi="Arial" w:cs="Arial"/>
        </w:rPr>
        <w:t>)</w:t>
      </w:r>
      <w:r w:rsidR="005107B3" w:rsidRPr="003334E0">
        <w:rPr>
          <w:rFonts w:ascii="Arial" w:hAnsi="Arial" w:cs="Arial"/>
        </w:rPr>
        <w:t xml:space="preserve">– </w:t>
      </w:r>
      <w:r w:rsidR="00FF6516" w:rsidRPr="003334E0">
        <w:rPr>
          <w:rFonts w:ascii="Arial" w:hAnsi="Arial" w:cs="Arial"/>
        </w:rPr>
        <w:t>new line request from RS and GMc awaited.</w:t>
      </w:r>
    </w:p>
    <w:p w:rsidR="002F6622" w:rsidRPr="002F6622" w:rsidRDefault="002F6622" w:rsidP="002F6622">
      <w:pPr>
        <w:pStyle w:val="NoSpacing"/>
        <w:suppressAutoHyphens w:val="0"/>
        <w:spacing w:line="240" w:lineRule="auto"/>
        <w:ind w:left="360"/>
        <w:jc w:val="right"/>
        <w:rPr>
          <w:rFonts w:ascii="Arial" w:hAnsi="Arial" w:cs="Arial"/>
          <w:b/>
        </w:rPr>
      </w:pPr>
      <w:r w:rsidRPr="002F6622">
        <w:rPr>
          <w:rFonts w:ascii="Arial" w:hAnsi="Arial" w:cs="Arial"/>
          <w:b/>
        </w:rPr>
        <w:t>Action RS/GMc</w:t>
      </w:r>
    </w:p>
    <w:p w:rsidR="00BF6C04" w:rsidRDefault="00BF6C04" w:rsidP="00BF6C04">
      <w:pPr>
        <w:pStyle w:val="ListParagraph"/>
      </w:pPr>
    </w:p>
    <w:p w:rsidR="00BF6C04" w:rsidRDefault="00BF6C04" w:rsidP="007926FF">
      <w:pPr>
        <w:pStyle w:val="NoSpacing"/>
        <w:numPr>
          <w:ilvl w:val="0"/>
          <w:numId w:val="6"/>
        </w:numPr>
        <w:suppressAutoHyphens w:val="0"/>
        <w:spacing w:line="240" w:lineRule="auto"/>
        <w:ind w:left="360"/>
        <w:jc w:val="both"/>
        <w:rPr>
          <w:rFonts w:ascii="Arial" w:hAnsi="Arial" w:cs="Arial"/>
        </w:rPr>
      </w:pPr>
      <w:r w:rsidRPr="00E35CE0">
        <w:rPr>
          <w:rFonts w:ascii="Arial" w:hAnsi="Arial" w:cs="Arial"/>
          <w:u w:val="single"/>
        </w:rPr>
        <w:t>Guanfacine (Intuniv</w:t>
      </w:r>
      <w:r>
        <w:rPr>
          <w:rFonts w:ascii="Arial" w:hAnsi="Arial" w:cs="Arial"/>
        </w:rPr>
        <w:t xml:space="preserve">) – Dr Nelapatla – </w:t>
      </w:r>
      <w:r w:rsidR="00E35CE0">
        <w:rPr>
          <w:rFonts w:ascii="Arial" w:hAnsi="Arial" w:cs="Arial"/>
        </w:rPr>
        <w:t xml:space="preserve">to attend the </w:t>
      </w:r>
      <w:r>
        <w:rPr>
          <w:rFonts w:ascii="Arial" w:hAnsi="Arial" w:cs="Arial"/>
        </w:rPr>
        <w:t>June meeting</w:t>
      </w:r>
    </w:p>
    <w:p w:rsidR="00BF6C04" w:rsidRDefault="00BF6C04" w:rsidP="00BF6C04">
      <w:pPr>
        <w:pStyle w:val="ListParagraph"/>
      </w:pPr>
    </w:p>
    <w:p w:rsidR="00BF6C04" w:rsidRDefault="00BF6C04" w:rsidP="007926FF">
      <w:pPr>
        <w:pStyle w:val="NoSpacing"/>
        <w:numPr>
          <w:ilvl w:val="0"/>
          <w:numId w:val="6"/>
        </w:numPr>
        <w:suppressAutoHyphens w:val="0"/>
        <w:spacing w:line="240" w:lineRule="auto"/>
        <w:ind w:left="360"/>
        <w:jc w:val="both"/>
        <w:rPr>
          <w:rFonts w:ascii="Arial" w:hAnsi="Arial" w:cs="Arial"/>
        </w:rPr>
      </w:pPr>
      <w:r w:rsidRPr="00E35CE0">
        <w:rPr>
          <w:rFonts w:ascii="Arial" w:hAnsi="Arial" w:cs="Arial"/>
          <w:u w:val="single"/>
        </w:rPr>
        <w:t>Perampanel (Fycompa) Tablets</w:t>
      </w:r>
      <w:r w:rsidR="00C52746">
        <w:rPr>
          <w:rFonts w:ascii="Arial" w:hAnsi="Arial" w:cs="Arial"/>
        </w:rPr>
        <w:t xml:space="preserve"> – approved</w:t>
      </w:r>
      <w:r w:rsidR="00E35CE0">
        <w:rPr>
          <w:rFonts w:ascii="Arial" w:hAnsi="Arial" w:cs="Arial"/>
        </w:rPr>
        <w:t>.</w:t>
      </w:r>
    </w:p>
    <w:p w:rsidR="00BF6C04" w:rsidRPr="002F6622" w:rsidRDefault="002F6622" w:rsidP="002F6622">
      <w:pPr>
        <w:pStyle w:val="ListParagraph"/>
        <w:jc w:val="right"/>
        <w:rPr>
          <w:b/>
          <w:sz w:val="22"/>
          <w:szCs w:val="22"/>
        </w:rPr>
      </w:pPr>
      <w:r w:rsidRPr="002F6622">
        <w:rPr>
          <w:b/>
          <w:sz w:val="22"/>
          <w:szCs w:val="22"/>
        </w:rPr>
        <w:t>Action: AL/JR/PH</w:t>
      </w:r>
    </w:p>
    <w:p w:rsidR="002F6622" w:rsidRDefault="002F6622" w:rsidP="00BF6C04">
      <w:pPr>
        <w:pStyle w:val="ListParagraph"/>
      </w:pPr>
    </w:p>
    <w:p w:rsidR="00BF6C04" w:rsidRDefault="00BF6C04" w:rsidP="007926FF">
      <w:pPr>
        <w:pStyle w:val="NoSpacing"/>
        <w:numPr>
          <w:ilvl w:val="0"/>
          <w:numId w:val="6"/>
        </w:numPr>
        <w:suppressAutoHyphens w:val="0"/>
        <w:spacing w:line="240" w:lineRule="auto"/>
        <w:ind w:left="360"/>
        <w:jc w:val="both"/>
        <w:rPr>
          <w:rFonts w:ascii="Arial" w:hAnsi="Arial" w:cs="Arial"/>
        </w:rPr>
      </w:pPr>
      <w:r w:rsidRPr="002F6622">
        <w:rPr>
          <w:rFonts w:ascii="Arial" w:hAnsi="Arial" w:cs="Arial"/>
          <w:u w:val="single"/>
        </w:rPr>
        <w:t>Braltus</w:t>
      </w:r>
      <w:r w:rsidR="002F6622" w:rsidRPr="002F6622">
        <w:rPr>
          <w:rFonts w:ascii="Arial" w:hAnsi="Arial" w:cs="Arial"/>
          <w:u w:val="single"/>
        </w:rPr>
        <w:t xml:space="preserve"> – Dr O’Flynn</w:t>
      </w:r>
      <w:r w:rsidR="00C52746">
        <w:rPr>
          <w:rFonts w:ascii="Arial" w:hAnsi="Arial" w:cs="Arial"/>
        </w:rPr>
        <w:t xml:space="preserve"> – to be circulated for virtual approval.</w:t>
      </w:r>
    </w:p>
    <w:p w:rsidR="002F6622" w:rsidRPr="002F6622" w:rsidRDefault="002F6622" w:rsidP="002F6622">
      <w:pPr>
        <w:pStyle w:val="ListParagraph"/>
        <w:jc w:val="right"/>
        <w:rPr>
          <w:b/>
          <w:sz w:val="22"/>
          <w:szCs w:val="22"/>
        </w:rPr>
      </w:pPr>
      <w:r w:rsidRPr="002F6622">
        <w:rPr>
          <w:b/>
          <w:sz w:val="22"/>
          <w:szCs w:val="22"/>
        </w:rPr>
        <w:t>Action: JR</w:t>
      </w:r>
    </w:p>
    <w:p w:rsidR="00BF6C04" w:rsidRDefault="00BF6C04" w:rsidP="00BF6C04">
      <w:pPr>
        <w:pStyle w:val="ListParagraph"/>
      </w:pPr>
    </w:p>
    <w:p w:rsidR="00BF6C04" w:rsidRPr="003334E0" w:rsidRDefault="00BF6C04" w:rsidP="007926FF">
      <w:pPr>
        <w:pStyle w:val="NoSpacing"/>
        <w:numPr>
          <w:ilvl w:val="0"/>
          <w:numId w:val="6"/>
        </w:numPr>
        <w:suppressAutoHyphens w:val="0"/>
        <w:spacing w:line="240" w:lineRule="auto"/>
        <w:ind w:left="360"/>
        <w:jc w:val="both"/>
        <w:rPr>
          <w:rFonts w:ascii="Arial" w:hAnsi="Arial" w:cs="Arial"/>
        </w:rPr>
      </w:pPr>
      <w:r w:rsidRPr="002F6622">
        <w:rPr>
          <w:rFonts w:ascii="Arial" w:hAnsi="Arial" w:cs="Arial"/>
          <w:u w:val="single"/>
        </w:rPr>
        <w:t>Apremilast in Psoriatic Arthritis</w:t>
      </w:r>
      <w:r>
        <w:rPr>
          <w:rFonts w:ascii="Arial" w:hAnsi="Arial" w:cs="Arial"/>
        </w:rPr>
        <w:t xml:space="preserve"> – Tim Gillott</w:t>
      </w:r>
      <w:r w:rsidR="00A74952">
        <w:rPr>
          <w:rFonts w:ascii="Arial" w:hAnsi="Arial" w:cs="Arial"/>
        </w:rPr>
        <w:t xml:space="preserve"> – Approved</w:t>
      </w:r>
      <w:r w:rsidR="00FA49AA">
        <w:rPr>
          <w:rFonts w:ascii="Arial" w:hAnsi="Arial" w:cs="Arial"/>
        </w:rPr>
        <w:t xml:space="preserve"> in line with NICE TA</w:t>
      </w:r>
      <w:r w:rsidR="00A74952">
        <w:rPr>
          <w:rFonts w:ascii="Arial" w:hAnsi="Arial" w:cs="Arial"/>
        </w:rPr>
        <w:t>.</w:t>
      </w:r>
    </w:p>
    <w:p w:rsidR="002F6622" w:rsidRPr="002F6622" w:rsidRDefault="002F6622" w:rsidP="002F6622">
      <w:pPr>
        <w:ind w:left="360"/>
        <w:jc w:val="right"/>
        <w:rPr>
          <w:b/>
          <w:sz w:val="22"/>
          <w:szCs w:val="22"/>
        </w:rPr>
      </w:pPr>
      <w:r w:rsidRPr="002F6622">
        <w:rPr>
          <w:b/>
          <w:sz w:val="22"/>
          <w:szCs w:val="22"/>
        </w:rPr>
        <w:t>Action: AL/JR/PH</w:t>
      </w:r>
    </w:p>
    <w:p w:rsidR="00295394" w:rsidRPr="00591A77" w:rsidRDefault="00295394" w:rsidP="00691FA0">
      <w:pPr>
        <w:pStyle w:val="NoSpacing"/>
        <w:suppressAutoHyphens w:val="0"/>
        <w:spacing w:line="240" w:lineRule="auto"/>
        <w:jc w:val="both"/>
        <w:rPr>
          <w:rFonts w:ascii="Arial" w:hAnsi="Arial" w:cs="Arial"/>
        </w:rPr>
      </w:pPr>
    </w:p>
    <w:p w:rsidR="00FC07E5" w:rsidRPr="00591A77" w:rsidRDefault="00FC07E5" w:rsidP="00FC07E5">
      <w:pPr>
        <w:pStyle w:val="NoSpacing"/>
        <w:suppressAutoHyphens w:val="0"/>
        <w:spacing w:line="240" w:lineRule="auto"/>
        <w:jc w:val="both"/>
        <w:rPr>
          <w:rFonts w:ascii="Arial" w:eastAsia="Times New Roman" w:hAnsi="Arial" w:cs="Arial"/>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151D11" w:rsidRPr="009B631F" w:rsidRDefault="00EF3DB2" w:rsidP="004A5D80">
      <w:pPr>
        <w:pStyle w:val="ListParagraph"/>
        <w:numPr>
          <w:ilvl w:val="0"/>
          <w:numId w:val="3"/>
        </w:numPr>
        <w:suppressAutoHyphens w:val="0"/>
        <w:spacing w:line="240" w:lineRule="auto"/>
        <w:ind w:left="360"/>
        <w:rPr>
          <w:rFonts w:eastAsia="SimSun"/>
          <w:sz w:val="22"/>
          <w:szCs w:val="22"/>
        </w:rPr>
      </w:pPr>
      <w:r w:rsidRPr="002F6622">
        <w:rPr>
          <w:sz w:val="22"/>
          <w:szCs w:val="22"/>
          <w:u w:val="single"/>
        </w:rPr>
        <w:t>MHR</w:t>
      </w:r>
      <w:r w:rsidR="00B86BF5" w:rsidRPr="002F6622">
        <w:rPr>
          <w:sz w:val="22"/>
          <w:szCs w:val="22"/>
          <w:u w:val="single"/>
        </w:rPr>
        <w:t>A Drug</w:t>
      </w:r>
      <w:r w:rsidRPr="002F6622">
        <w:rPr>
          <w:sz w:val="22"/>
          <w:szCs w:val="22"/>
          <w:u w:val="single"/>
        </w:rPr>
        <w:t xml:space="preserve"> </w:t>
      </w:r>
      <w:r w:rsidR="00E17DC9" w:rsidRPr="002F6622">
        <w:rPr>
          <w:sz w:val="22"/>
          <w:szCs w:val="22"/>
          <w:u w:val="single"/>
        </w:rPr>
        <w:t>Safety Update</w:t>
      </w:r>
      <w:r w:rsidR="00361D71" w:rsidRPr="00591A77">
        <w:rPr>
          <w:sz w:val="22"/>
          <w:szCs w:val="22"/>
        </w:rPr>
        <w:t xml:space="preserve"> </w:t>
      </w:r>
      <w:r w:rsidR="00151D11" w:rsidRPr="00591A77">
        <w:rPr>
          <w:sz w:val="22"/>
          <w:szCs w:val="22"/>
        </w:rPr>
        <w:t xml:space="preserve">– </w:t>
      </w:r>
      <w:r w:rsidR="00B86BF5" w:rsidRPr="00591A77">
        <w:rPr>
          <w:sz w:val="22"/>
          <w:szCs w:val="22"/>
        </w:rPr>
        <w:t>The APC noted the contents of the alert for</w:t>
      </w:r>
      <w:r w:rsidR="0060260D">
        <w:rPr>
          <w:sz w:val="22"/>
          <w:szCs w:val="22"/>
        </w:rPr>
        <w:t xml:space="preserve"> </w:t>
      </w:r>
      <w:r w:rsidR="00BF6C04">
        <w:rPr>
          <w:sz w:val="22"/>
          <w:szCs w:val="22"/>
        </w:rPr>
        <w:t xml:space="preserve">March and April </w:t>
      </w:r>
      <w:r w:rsidR="007926FF">
        <w:rPr>
          <w:sz w:val="22"/>
          <w:szCs w:val="22"/>
        </w:rPr>
        <w:t xml:space="preserve"> </w:t>
      </w:r>
      <w:r w:rsidR="0060260D">
        <w:rPr>
          <w:sz w:val="22"/>
          <w:szCs w:val="22"/>
        </w:rPr>
        <w:t xml:space="preserve"> 2017.</w:t>
      </w:r>
      <w:r w:rsidR="0015367D" w:rsidRPr="00591A77">
        <w:rPr>
          <w:sz w:val="22"/>
          <w:szCs w:val="22"/>
        </w:rPr>
        <w:t xml:space="preserve"> </w:t>
      </w:r>
      <w:r w:rsidR="008937D3">
        <w:rPr>
          <w:sz w:val="22"/>
          <w:szCs w:val="22"/>
        </w:rPr>
        <w:t xml:space="preserve">  </w:t>
      </w:r>
      <w:r w:rsidR="002F6622">
        <w:rPr>
          <w:sz w:val="22"/>
          <w:szCs w:val="22"/>
        </w:rPr>
        <w:t xml:space="preserve">It was noted that </w:t>
      </w:r>
      <w:r w:rsidR="00FA49AA">
        <w:rPr>
          <w:sz w:val="22"/>
          <w:szCs w:val="22"/>
        </w:rPr>
        <w:t>local teams need to adopt the recommendations for sodium v</w:t>
      </w:r>
      <w:r w:rsidR="00C52746">
        <w:rPr>
          <w:sz w:val="22"/>
          <w:szCs w:val="22"/>
        </w:rPr>
        <w:t>alproate</w:t>
      </w:r>
      <w:r w:rsidR="00FA49AA">
        <w:rPr>
          <w:sz w:val="22"/>
          <w:szCs w:val="22"/>
        </w:rPr>
        <w:t xml:space="preserve"> and early review of all female patients receiving sodium </w:t>
      </w:r>
      <w:r w:rsidR="00B04065">
        <w:rPr>
          <w:sz w:val="22"/>
          <w:szCs w:val="22"/>
        </w:rPr>
        <w:t>valproate.</w:t>
      </w:r>
    </w:p>
    <w:p w:rsidR="009B631F" w:rsidRPr="00BF6C04" w:rsidRDefault="009B631F" w:rsidP="009B631F">
      <w:pPr>
        <w:pStyle w:val="ListParagraph"/>
        <w:suppressAutoHyphens w:val="0"/>
        <w:spacing w:line="240" w:lineRule="auto"/>
        <w:ind w:left="360"/>
        <w:rPr>
          <w:rFonts w:eastAsia="SimSun"/>
          <w:sz w:val="22"/>
          <w:szCs w:val="22"/>
        </w:rPr>
      </w:pPr>
    </w:p>
    <w:p w:rsidR="00FA49AA" w:rsidRPr="00FA49AA" w:rsidRDefault="00BF6C04" w:rsidP="00C7260D">
      <w:pPr>
        <w:pStyle w:val="ListParagraph"/>
        <w:numPr>
          <w:ilvl w:val="0"/>
          <w:numId w:val="3"/>
        </w:numPr>
        <w:suppressAutoHyphens w:val="0"/>
        <w:spacing w:line="240" w:lineRule="auto"/>
        <w:ind w:left="360"/>
        <w:rPr>
          <w:rFonts w:eastAsia="SimSun"/>
          <w:sz w:val="22"/>
          <w:szCs w:val="22"/>
        </w:rPr>
      </w:pPr>
      <w:r w:rsidRPr="00C7260D">
        <w:rPr>
          <w:sz w:val="22"/>
          <w:szCs w:val="22"/>
          <w:u w:val="single"/>
        </w:rPr>
        <w:t>Shared Care Guidelines for Rheumatology DMARDs</w:t>
      </w:r>
      <w:r w:rsidR="00927E13">
        <w:rPr>
          <w:sz w:val="22"/>
          <w:szCs w:val="22"/>
        </w:rPr>
        <w:t xml:space="preserve"> – Dr Dadiras attended for this item. </w:t>
      </w:r>
      <w:r w:rsidR="002F6622">
        <w:rPr>
          <w:sz w:val="22"/>
          <w:szCs w:val="22"/>
        </w:rPr>
        <w:t xml:space="preserve">  It was noted that previously there had been shared</w:t>
      </w:r>
      <w:r w:rsidR="00FA49AA">
        <w:rPr>
          <w:sz w:val="22"/>
          <w:szCs w:val="22"/>
        </w:rPr>
        <w:t xml:space="preserve"> care agreements in place for DMARDs but  th</w:t>
      </w:r>
      <w:r w:rsidR="00C7260D">
        <w:rPr>
          <w:sz w:val="22"/>
          <w:szCs w:val="22"/>
        </w:rPr>
        <w:t xml:space="preserve">ere were funding  issues regarding these for </w:t>
      </w:r>
      <w:r w:rsidR="00FA49AA">
        <w:rPr>
          <w:sz w:val="22"/>
          <w:szCs w:val="22"/>
        </w:rPr>
        <w:t>GPs. The lack of Shared Care arrangements causes p</w:t>
      </w:r>
      <w:r w:rsidR="00C7260D">
        <w:rPr>
          <w:sz w:val="22"/>
          <w:szCs w:val="22"/>
        </w:rPr>
        <w:t xml:space="preserve">roblems </w:t>
      </w:r>
      <w:r w:rsidR="00FA49AA">
        <w:rPr>
          <w:sz w:val="22"/>
          <w:szCs w:val="22"/>
        </w:rPr>
        <w:t xml:space="preserve">for patients. E.g. </w:t>
      </w:r>
      <w:r w:rsidR="00C7260D">
        <w:rPr>
          <w:sz w:val="22"/>
          <w:szCs w:val="22"/>
        </w:rPr>
        <w:t xml:space="preserve">in the Skegness area </w:t>
      </w:r>
      <w:r w:rsidR="00FA49AA">
        <w:rPr>
          <w:sz w:val="22"/>
          <w:szCs w:val="22"/>
        </w:rPr>
        <w:t xml:space="preserve">patients </w:t>
      </w:r>
      <w:r w:rsidR="00C7260D">
        <w:rPr>
          <w:sz w:val="22"/>
          <w:szCs w:val="22"/>
        </w:rPr>
        <w:t>who do not have access to a GP for blood tests have to travel to Louth Hospital</w:t>
      </w:r>
      <w:r w:rsidR="002F6622">
        <w:rPr>
          <w:sz w:val="22"/>
          <w:szCs w:val="22"/>
        </w:rPr>
        <w:t xml:space="preserve"> for these</w:t>
      </w:r>
      <w:r w:rsidR="00C7260D">
        <w:rPr>
          <w:sz w:val="22"/>
          <w:szCs w:val="22"/>
        </w:rPr>
        <w:t xml:space="preserve">. </w:t>
      </w:r>
      <w:r w:rsidR="00FA49AA">
        <w:rPr>
          <w:sz w:val="22"/>
          <w:szCs w:val="22"/>
        </w:rPr>
        <w:t xml:space="preserve">.  Each of the following prescribing </w:t>
      </w:r>
      <w:r w:rsidR="00C7260D">
        <w:rPr>
          <w:sz w:val="22"/>
          <w:szCs w:val="22"/>
        </w:rPr>
        <w:t>framework</w:t>
      </w:r>
      <w:r w:rsidR="00FA49AA">
        <w:rPr>
          <w:sz w:val="22"/>
          <w:szCs w:val="22"/>
        </w:rPr>
        <w:t xml:space="preserve">s were </w:t>
      </w:r>
      <w:r w:rsidR="00C7260D">
        <w:rPr>
          <w:sz w:val="22"/>
          <w:szCs w:val="22"/>
        </w:rPr>
        <w:t>clinically approved</w:t>
      </w:r>
      <w:r w:rsidR="00FA49AA">
        <w:rPr>
          <w:sz w:val="22"/>
          <w:szCs w:val="22"/>
        </w:rPr>
        <w:t xml:space="preserve"> </w:t>
      </w:r>
    </w:p>
    <w:p w:rsidR="00FA49AA" w:rsidRDefault="00DD38DF" w:rsidP="00DD38DF">
      <w:pPr>
        <w:pStyle w:val="ListParagraph"/>
        <w:numPr>
          <w:ilvl w:val="0"/>
          <w:numId w:val="15"/>
        </w:numPr>
        <w:rPr>
          <w:sz w:val="22"/>
          <w:szCs w:val="22"/>
        </w:rPr>
      </w:pPr>
      <w:r>
        <w:rPr>
          <w:sz w:val="22"/>
          <w:szCs w:val="22"/>
        </w:rPr>
        <w:t>Azathioprine</w:t>
      </w:r>
    </w:p>
    <w:p w:rsidR="00DD38DF" w:rsidRDefault="00DD38DF" w:rsidP="00DD38DF">
      <w:pPr>
        <w:pStyle w:val="ListParagraph"/>
        <w:numPr>
          <w:ilvl w:val="0"/>
          <w:numId w:val="15"/>
        </w:numPr>
        <w:rPr>
          <w:sz w:val="22"/>
          <w:szCs w:val="22"/>
        </w:rPr>
      </w:pPr>
      <w:r>
        <w:rPr>
          <w:sz w:val="22"/>
          <w:szCs w:val="22"/>
        </w:rPr>
        <w:t>Hydroychloroquine</w:t>
      </w:r>
    </w:p>
    <w:p w:rsidR="00DD38DF" w:rsidRDefault="00DD38DF" w:rsidP="00DD38DF">
      <w:pPr>
        <w:pStyle w:val="ListParagraph"/>
        <w:numPr>
          <w:ilvl w:val="0"/>
          <w:numId w:val="15"/>
        </w:numPr>
        <w:rPr>
          <w:sz w:val="22"/>
          <w:szCs w:val="22"/>
        </w:rPr>
      </w:pPr>
      <w:r>
        <w:rPr>
          <w:sz w:val="22"/>
          <w:szCs w:val="22"/>
        </w:rPr>
        <w:t>Methotrexate</w:t>
      </w:r>
    </w:p>
    <w:p w:rsidR="00DD38DF" w:rsidRDefault="00DD38DF" w:rsidP="00DD38DF">
      <w:pPr>
        <w:pStyle w:val="ListParagraph"/>
        <w:numPr>
          <w:ilvl w:val="0"/>
          <w:numId w:val="15"/>
        </w:numPr>
        <w:rPr>
          <w:sz w:val="22"/>
          <w:szCs w:val="22"/>
        </w:rPr>
      </w:pPr>
      <w:r>
        <w:rPr>
          <w:sz w:val="22"/>
          <w:szCs w:val="22"/>
        </w:rPr>
        <w:t>Leflunomide</w:t>
      </w:r>
    </w:p>
    <w:p w:rsidR="00DD38DF" w:rsidRPr="00B04065" w:rsidRDefault="00DD38DF" w:rsidP="00DD38DF">
      <w:pPr>
        <w:pStyle w:val="ListParagraph"/>
        <w:numPr>
          <w:ilvl w:val="0"/>
          <w:numId w:val="15"/>
        </w:numPr>
        <w:rPr>
          <w:sz w:val="22"/>
          <w:szCs w:val="22"/>
        </w:rPr>
      </w:pPr>
      <w:r w:rsidRPr="00B04065">
        <w:rPr>
          <w:sz w:val="22"/>
          <w:szCs w:val="22"/>
        </w:rPr>
        <w:t>Sodium Aurothiomalate</w:t>
      </w:r>
    </w:p>
    <w:p w:rsidR="00DD38DF" w:rsidRPr="00FA49AA" w:rsidRDefault="00DD38DF" w:rsidP="00DD38DF">
      <w:pPr>
        <w:pStyle w:val="ListParagraph"/>
        <w:numPr>
          <w:ilvl w:val="0"/>
          <w:numId w:val="15"/>
        </w:numPr>
        <w:rPr>
          <w:sz w:val="22"/>
          <w:szCs w:val="22"/>
        </w:rPr>
      </w:pPr>
      <w:r>
        <w:rPr>
          <w:sz w:val="22"/>
          <w:szCs w:val="22"/>
        </w:rPr>
        <w:t>Sulfasalazine</w:t>
      </w:r>
    </w:p>
    <w:p w:rsidR="00C7260D" w:rsidRDefault="00FA49AA" w:rsidP="00FA49AA">
      <w:pPr>
        <w:pStyle w:val="ListParagraph"/>
        <w:suppressAutoHyphens w:val="0"/>
        <w:spacing w:line="240" w:lineRule="auto"/>
        <w:ind w:left="360"/>
        <w:rPr>
          <w:sz w:val="22"/>
          <w:szCs w:val="22"/>
        </w:rPr>
      </w:pPr>
      <w:r>
        <w:rPr>
          <w:sz w:val="22"/>
          <w:szCs w:val="22"/>
        </w:rPr>
        <w:t xml:space="preserve">Funding for GPs to support these frameworks </w:t>
      </w:r>
      <w:r w:rsidR="00C7260D">
        <w:rPr>
          <w:sz w:val="22"/>
          <w:szCs w:val="22"/>
        </w:rPr>
        <w:t>would need to be agreed between the CCGs</w:t>
      </w:r>
      <w:r>
        <w:rPr>
          <w:sz w:val="22"/>
          <w:szCs w:val="22"/>
        </w:rPr>
        <w:t>, GPs</w:t>
      </w:r>
      <w:r w:rsidR="00C7260D">
        <w:rPr>
          <w:sz w:val="22"/>
          <w:szCs w:val="22"/>
        </w:rPr>
        <w:t xml:space="preserve"> and NLaG</w:t>
      </w:r>
      <w:r>
        <w:rPr>
          <w:sz w:val="22"/>
          <w:szCs w:val="22"/>
        </w:rPr>
        <w:t xml:space="preserve"> commissioning/contracting teams</w:t>
      </w:r>
      <w:r w:rsidR="00C7260D">
        <w:rPr>
          <w:sz w:val="22"/>
          <w:szCs w:val="22"/>
        </w:rPr>
        <w:t xml:space="preserve">.  </w:t>
      </w:r>
    </w:p>
    <w:p w:rsidR="00DD38DF" w:rsidRPr="00C7260D" w:rsidRDefault="00DD38DF" w:rsidP="00FA49AA">
      <w:pPr>
        <w:pStyle w:val="ListParagraph"/>
        <w:suppressAutoHyphens w:val="0"/>
        <w:spacing w:line="240" w:lineRule="auto"/>
        <w:ind w:left="360"/>
        <w:rPr>
          <w:rFonts w:eastAsia="SimSun"/>
          <w:sz w:val="22"/>
          <w:szCs w:val="22"/>
        </w:rPr>
      </w:pPr>
    </w:p>
    <w:p w:rsidR="00C7260D" w:rsidRDefault="00C7260D" w:rsidP="00C7260D">
      <w:pPr>
        <w:pStyle w:val="ListParagraph"/>
        <w:suppressAutoHyphens w:val="0"/>
        <w:spacing w:line="240" w:lineRule="auto"/>
        <w:ind w:left="360"/>
        <w:rPr>
          <w:sz w:val="22"/>
          <w:szCs w:val="22"/>
        </w:rPr>
      </w:pPr>
      <w:r>
        <w:rPr>
          <w:sz w:val="22"/>
          <w:szCs w:val="22"/>
        </w:rPr>
        <w:t>An additional Specialist Nurse in</w:t>
      </w:r>
      <w:r w:rsidR="00FA49AA">
        <w:rPr>
          <w:sz w:val="22"/>
          <w:szCs w:val="22"/>
        </w:rPr>
        <w:t xml:space="preserve"> </w:t>
      </w:r>
      <w:r w:rsidR="009D03C8">
        <w:rPr>
          <w:sz w:val="22"/>
          <w:szCs w:val="22"/>
        </w:rPr>
        <w:t>Grimsby</w:t>
      </w:r>
      <w:r w:rsidR="00DD38DF">
        <w:rPr>
          <w:sz w:val="22"/>
          <w:szCs w:val="22"/>
        </w:rPr>
        <w:t xml:space="preserve"> can</w:t>
      </w:r>
      <w:r>
        <w:rPr>
          <w:sz w:val="22"/>
          <w:szCs w:val="22"/>
        </w:rPr>
        <w:t xml:space="preserve"> help with any support required from NLaG</w:t>
      </w:r>
      <w:r w:rsidR="00DD38DF">
        <w:rPr>
          <w:sz w:val="22"/>
          <w:szCs w:val="22"/>
        </w:rPr>
        <w:t>. The specialist nurse can help</w:t>
      </w:r>
      <w:r>
        <w:rPr>
          <w:sz w:val="22"/>
          <w:szCs w:val="22"/>
        </w:rPr>
        <w:t xml:space="preserve"> with information/urgent queries etc manned from 9 am to 5 pm weekdays.</w:t>
      </w:r>
      <w:r w:rsidR="009B631F">
        <w:rPr>
          <w:sz w:val="22"/>
          <w:szCs w:val="22"/>
        </w:rPr>
        <w:t xml:space="preserve">  With regard to the maintenance framework </w:t>
      </w:r>
      <w:r w:rsidR="00B92611">
        <w:rPr>
          <w:sz w:val="22"/>
          <w:szCs w:val="22"/>
        </w:rPr>
        <w:t>for methotrexate titration</w:t>
      </w:r>
      <w:r w:rsidR="00DD38DF">
        <w:rPr>
          <w:sz w:val="22"/>
          <w:szCs w:val="22"/>
        </w:rPr>
        <w:t>, s</w:t>
      </w:r>
      <w:r w:rsidR="00B92611">
        <w:rPr>
          <w:sz w:val="22"/>
          <w:szCs w:val="22"/>
        </w:rPr>
        <w:t xml:space="preserve">ome practices would be </w:t>
      </w:r>
      <w:r w:rsidR="00B04065">
        <w:rPr>
          <w:sz w:val="22"/>
          <w:szCs w:val="22"/>
        </w:rPr>
        <w:t>competent</w:t>
      </w:r>
      <w:r w:rsidR="00B92611">
        <w:rPr>
          <w:sz w:val="22"/>
          <w:szCs w:val="22"/>
        </w:rPr>
        <w:t xml:space="preserve"> with this and others </w:t>
      </w:r>
      <w:r w:rsidR="00DD38DF">
        <w:rPr>
          <w:sz w:val="22"/>
          <w:szCs w:val="22"/>
        </w:rPr>
        <w:t xml:space="preserve">would need further support. </w:t>
      </w:r>
    </w:p>
    <w:p w:rsidR="00DD38DF" w:rsidRPr="00FA49AA" w:rsidRDefault="00DD38DF" w:rsidP="00C7260D">
      <w:pPr>
        <w:pStyle w:val="ListParagraph"/>
        <w:suppressAutoHyphens w:val="0"/>
        <w:spacing w:line="240" w:lineRule="auto"/>
        <w:ind w:left="360"/>
        <w:rPr>
          <w:sz w:val="22"/>
          <w:szCs w:val="22"/>
        </w:rPr>
      </w:pPr>
      <w:r>
        <w:rPr>
          <w:sz w:val="22"/>
          <w:szCs w:val="22"/>
        </w:rPr>
        <w:t xml:space="preserve">Contract </w:t>
      </w:r>
      <w:r w:rsidR="00B04065">
        <w:rPr>
          <w:sz w:val="22"/>
          <w:szCs w:val="22"/>
        </w:rPr>
        <w:t>negotiations</w:t>
      </w:r>
      <w:r>
        <w:rPr>
          <w:sz w:val="22"/>
          <w:szCs w:val="22"/>
        </w:rPr>
        <w:t xml:space="preserve"> will be picked up by the CCG Medicines Management leads</w:t>
      </w:r>
    </w:p>
    <w:p w:rsidR="00C25C3E" w:rsidRPr="002F6622" w:rsidRDefault="002F6622" w:rsidP="002F6622">
      <w:pPr>
        <w:pStyle w:val="ListParagraph"/>
        <w:suppressAutoHyphens w:val="0"/>
        <w:spacing w:line="240" w:lineRule="auto"/>
        <w:ind w:left="360"/>
        <w:jc w:val="right"/>
        <w:rPr>
          <w:rFonts w:eastAsia="SimSun"/>
          <w:b/>
          <w:sz w:val="22"/>
          <w:szCs w:val="22"/>
        </w:rPr>
      </w:pPr>
      <w:r w:rsidRPr="002F6622">
        <w:rPr>
          <w:rFonts w:eastAsia="SimSun"/>
          <w:b/>
          <w:sz w:val="22"/>
          <w:szCs w:val="22"/>
        </w:rPr>
        <w:t xml:space="preserve">Action </w:t>
      </w:r>
      <w:r w:rsidR="00DD38DF">
        <w:rPr>
          <w:rFonts w:eastAsia="SimSun"/>
          <w:b/>
          <w:sz w:val="22"/>
          <w:szCs w:val="22"/>
        </w:rPr>
        <w:t>GMc</w:t>
      </w:r>
    </w:p>
    <w:p w:rsidR="002457C6" w:rsidRPr="00C25C3E" w:rsidRDefault="002457C6" w:rsidP="00C25C3E">
      <w:pPr>
        <w:pStyle w:val="NoSpacing"/>
        <w:ind w:left="360"/>
        <w:jc w:val="right"/>
        <w:rPr>
          <w:rFonts w:ascii="Arial" w:hAnsi="Arial" w:cs="Arial"/>
          <w:b/>
        </w:rPr>
      </w:pPr>
    </w:p>
    <w:p w:rsidR="00591A77" w:rsidRDefault="00591A77"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5772A" w:rsidRDefault="0045772A" w:rsidP="0045772A">
      <w:pPr>
        <w:pStyle w:val="ListParagraph"/>
      </w:pPr>
    </w:p>
    <w:p w:rsidR="0080634A" w:rsidRDefault="0080634A" w:rsidP="0080634A">
      <w:pPr>
        <w:pStyle w:val="NoSpacing"/>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F7B04" w:rsidRPr="00715616" w:rsidRDefault="000F7B04" w:rsidP="000F7B04">
      <w:pPr>
        <w:pStyle w:val="NoSpacing"/>
        <w:jc w:val="both"/>
        <w:rPr>
          <w:rFonts w:ascii="Arial" w:hAnsi="Arial" w:cs="Arial"/>
        </w:rPr>
      </w:pPr>
    </w:p>
    <w:p w:rsidR="00D77CBE" w:rsidRDefault="00BF6C04" w:rsidP="009628F4">
      <w:pPr>
        <w:pStyle w:val="NoSpacing"/>
        <w:rPr>
          <w:rFonts w:ascii="Arial" w:hAnsi="Arial" w:cs="Arial"/>
        </w:rPr>
      </w:pPr>
      <w:r>
        <w:rPr>
          <w:rFonts w:ascii="Arial" w:hAnsi="Arial" w:cs="Arial"/>
        </w:rPr>
        <w:t xml:space="preserve">Thursday 8 June 2017, 2 pm to 4 pm, </w:t>
      </w:r>
      <w:r w:rsidR="009628F4">
        <w:rPr>
          <w:rFonts w:ascii="Arial" w:hAnsi="Arial" w:cs="Arial"/>
        </w:rPr>
        <w:t xml:space="preserve">in </w:t>
      </w:r>
      <w:r>
        <w:rPr>
          <w:rFonts w:ascii="Arial" w:hAnsi="Arial" w:cs="Arial"/>
        </w:rPr>
        <w:t>Freshney Green</w:t>
      </w:r>
      <w:r w:rsidR="009628F4">
        <w:rPr>
          <w:rFonts w:ascii="Arial" w:hAnsi="Arial" w:cs="Arial"/>
        </w:rPr>
        <w:t xml:space="preserve">.  </w:t>
      </w:r>
    </w:p>
    <w:p w:rsidR="009628F4" w:rsidRDefault="009628F4" w:rsidP="009628F4">
      <w:pPr>
        <w:pStyle w:val="NoSpacing"/>
        <w:rPr>
          <w:rFonts w:ascii="Arial" w:hAnsi="Arial" w:cs="Arial"/>
        </w:rPr>
      </w:pPr>
    </w:p>
    <w:p w:rsidR="009628F4" w:rsidRDefault="009628F4" w:rsidP="009628F4">
      <w:pPr>
        <w:pStyle w:val="NoSpacing"/>
        <w:rPr>
          <w:rFonts w:ascii="Arial" w:hAnsi="Arial" w:cs="Arial"/>
        </w:rPr>
      </w:pPr>
      <w:r>
        <w:rPr>
          <w:rFonts w:ascii="Arial" w:hAnsi="Arial" w:cs="Arial"/>
        </w:rPr>
        <w:t>It was agreed following the ‘survey monkey’ that the meetings would still take place on a Thursday afternoon but would alternate between sites, ie Freshney Green and Health Place Brigg.  The survey showed equal support for first and third Thursdays – currently we are second Thursday.  Joanne Rowson to arrange.</w:t>
      </w:r>
    </w:p>
    <w:p w:rsidR="009628F4" w:rsidRPr="009628F4" w:rsidRDefault="009628F4" w:rsidP="009628F4">
      <w:pPr>
        <w:pStyle w:val="NoSpacing"/>
        <w:jc w:val="right"/>
        <w:rPr>
          <w:rFonts w:ascii="Arial" w:hAnsi="Arial" w:cs="Arial"/>
          <w:b/>
        </w:rPr>
      </w:pPr>
      <w:r w:rsidRPr="009628F4">
        <w:rPr>
          <w:rFonts w:ascii="Arial" w:hAnsi="Arial" w:cs="Arial"/>
          <w:b/>
        </w:rPr>
        <w:t>Action: JR</w:t>
      </w:r>
    </w:p>
    <w:sectPr w:rsidR="009628F4" w:rsidRPr="009628F4" w:rsidSect="00104321">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32" w:rsidRDefault="00024232" w:rsidP="00263663">
      <w:pPr>
        <w:spacing w:line="240" w:lineRule="auto"/>
      </w:pPr>
      <w:r>
        <w:separator/>
      </w:r>
    </w:p>
  </w:endnote>
  <w:endnote w:type="continuationSeparator" w:id="0">
    <w:p w:rsidR="00024232" w:rsidRDefault="00024232"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61194"/>
      <w:docPartObj>
        <w:docPartGallery w:val="Page Numbers (Bottom of Page)"/>
        <w:docPartUnique/>
      </w:docPartObj>
    </w:sdtPr>
    <w:sdtEndPr>
      <w:rPr>
        <w:noProof/>
      </w:rPr>
    </w:sdtEndPr>
    <w:sdtContent>
      <w:p w:rsidR="00E94FB7" w:rsidRDefault="00E94FB7">
        <w:pPr>
          <w:pStyle w:val="Footer"/>
          <w:jc w:val="right"/>
        </w:pPr>
        <w:r>
          <w:fldChar w:fldCharType="begin"/>
        </w:r>
        <w:r>
          <w:instrText xml:space="preserve"> PAGE   \* MERGEFORMAT </w:instrText>
        </w:r>
        <w:r>
          <w:fldChar w:fldCharType="separate"/>
        </w:r>
        <w:r w:rsidR="00E34F35">
          <w:rPr>
            <w:noProof/>
          </w:rPr>
          <w:t>2</w:t>
        </w:r>
        <w:r>
          <w:rPr>
            <w:noProof/>
          </w:rPr>
          <w:fldChar w:fldCharType="end"/>
        </w:r>
      </w:p>
    </w:sdtContent>
  </w:sdt>
  <w:p w:rsidR="00E94FB7" w:rsidRDefault="00E9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32" w:rsidRDefault="00024232" w:rsidP="00263663">
      <w:pPr>
        <w:spacing w:line="240" w:lineRule="auto"/>
      </w:pPr>
      <w:r>
        <w:separator/>
      </w:r>
    </w:p>
  </w:footnote>
  <w:footnote w:type="continuationSeparator" w:id="0">
    <w:p w:rsidR="00024232" w:rsidRDefault="00024232" w:rsidP="00263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452F76"/>
    <w:multiLevelType w:val="hybridMultilevel"/>
    <w:tmpl w:val="9D900B20"/>
    <w:lvl w:ilvl="0" w:tplc="2A30F4E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01B1D00"/>
    <w:multiLevelType w:val="hybridMultilevel"/>
    <w:tmpl w:val="91027C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13"/>
  </w:num>
  <w:num w:numId="3">
    <w:abstractNumId w:val="14"/>
  </w:num>
  <w:num w:numId="4">
    <w:abstractNumId w:val="4"/>
  </w:num>
  <w:num w:numId="5">
    <w:abstractNumId w:val="0"/>
  </w:num>
  <w:num w:numId="6">
    <w:abstractNumId w:val="12"/>
  </w:num>
  <w:num w:numId="7">
    <w:abstractNumId w:val="10"/>
  </w:num>
  <w:num w:numId="8">
    <w:abstractNumId w:val="1"/>
  </w:num>
  <w:num w:numId="9">
    <w:abstractNumId w:val="2"/>
  </w:num>
  <w:num w:numId="10">
    <w:abstractNumId w:val="6"/>
  </w:num>
  <w:num w:numId="11">
    <w:abstractNumId w:val="9"/>
  </w:num>
  <w:num w:numId="12">
    <w:abstractNumId w:val="5"/>
  </w:num>
  <w:num w:numId="13">
    <w:abstractNumId w:val="3"/>
  </w:num>
  <w:num w:numId="14">
    <w:abstractNumId w:val="7"/>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07C4A"/>
    <w:rsid w:val="00012CD1"/>
    <w:rsid w:val="00013AA3"/>
    <w:rsid w:val="0001455D"/>
    <w:rsid w:val="00014BAB"/>
    <w:rsid w:val="0001602B"/>
    <w:rsid w:val="0001791E"/>
    <w:rsid w:val="00020012"/>
    <w:rsid w:val="00023440"/>
    <w:rsid w:val="00024232"/>
    <w:rsid w:val="00027AC5"/>
    <w:rsid w:val="00030335"/>
    <w:rsid w:val="00031DB7"/>
    <w:rsid w:val="00031EC4"/>
    <w:rsid w:val="00034B6C"/>
    <w:rsid w:val="000352EE"/>
    <w:rsid w:val="0004115B"/>
    <w:rsid w:val="00042253"/>
    <w:rsid w:val="000435F6"/>
    <w:rsid w:val="00043A5E"/>
    <w:rsid w:val="00045E06"/>
    <w:rsid w:val="00046C29"/>
    <w:rsid w:val="00050306"/>
    <w:rsid w:val="0005450A"/>
    <w:rsid w:val="00056993"/>
    <w:rsid w:val="00057480"/>
    <w:rsid w:val="00057723"/>
    <w:rsid w:val="00062792"/>
    <w:rsid w:val="00065FBC"/>
    <w:rsid w:val="00067194"/>
    <w:rsid w:val="0007105A"/>
    <w:rsid w:val="000725E5"/>
    <w:rsid w:val="00083856"/>
    <w:rsid w:val="00086752"/>
    <w:rsid w:val="00091C82"/>
    <w:rsid w:val="000976E8"/>
    <w:rsid w:val="000A13AE"/>
    <w:rsid w:val="000A1635"/>
    <w:rsid w:val="000A6BA5"/>
    <w:rsid w:val="000A75C0"/>
    <w:rsid w:val="000B1B85"/>
    <w:rsid w:val="000B1BD6"/>
    <w:rsid w:val="000B2ED4"/>
    <w:rsid w:val="000B487A"/>
    <w:rsid w:val="000B5885"/>
    <w:rsid w:val="000B5DC7"/>
    <w:rsid w:val="000C0593"/>
    <w:rsid w:val="000C1C74"/>
    <w:rsid w:val="000C4C7D"/>
    <w:rsid w:val="000C5007"/>
    <w:rsid w:val="000C710B"/>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6469"/>
    <w:rsid w:val="001072A6"/>
    <w:rsid w:val="00107B43"/>
    <w:rsid w:val="00107B7C"/>
    <w:rsid w:val="00110E25"/>
    <w:rsid w:val="0011122F"/>
    <w:rsid w:val="00112742"/>
    <w:rsid w:val="00113867"/>
    <w:rsid w:val="00113955"/>
    <w:rsid w:val="001139F0"/>
    <w:rsid w:val="00120908"/>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5B40"/>
    <w:rsid w:val="00156E4F"/>
    <w:rsid w:val="0015738F"/>
    <w:rsid w:val="001573A6"/>
    <w:rsid w:val="0016096E"/>
    <w:rsid w:val="00161CC2"/>
    <w:rsid w:val="00165E7D"/>
    <w:rsid w:val="001718C0"/>
    <w:rsid w:val="00171AA7"/>
    <w:rsid w:val="00171EC7"/>
    <w:rsid w:val="00173164"/>
    <w:rsid w:val="00177420"/>
    <w:rsid w:val="00177757"/>
    <w:rsid w:val="00182BA5"/>
    <w:rsid w:val="00183D28"/>
    <w:rsid w:val="00184775"/>
    <w:rsid w:val="00185032"/>
    <w:rsid w:val="00186F64"/>
    <w:rsid w:val="00190CC0"/>
    <w:rsid w:val="00191791"/>
    <w:rsid w:val="001943F3"/>
    <w:rsid w:val="001971C5"/>
    <w:rsid w:val="001A0EBE"/>
    <w:rsid w:val="001A1760"/>
    <w:rsid w:val="001A22E5"/>
    <w:rsid w:val="001A2F55"/>
    <w:rsid w:val="001A2F99"/>
    <w:rsid w:val="001A4024"/>
    <w:rsid w:val="001B03C0"/>
    <w:rsid w:val="001B0874"/>
    <w:rsid w:val="001B4633"/>
    <w:rsid w:val="001B4F70"/>
    <w:rsid w:val="001B735F"/>
    <w:rsid w:val="001B7BD4"/>
    <w:rsid w:val="001C16F6"/>
    <w:rsid w:val="001C2BD5"/>
    <w:rsid w:val="001C2E28"/>
    <w:rsid w:val="001C3728"/>
    <w:rsid w:val="001C60BD"/>
    <w:rsid w:val="001C6519"/>
    <w:rsid w:val="001C77FA"/>
    <w:rsid w:val="001D145F"/>
    <w:rsid w:val="001D1ACD"/>
    <w:rsid w:val="001D1AFB"/>
    <w:rsid w:val="001D6402"/>
    <w:rsid w:val="001D75A3"/>
    <w:rsid w:val="001E2F54"/>
    <w:rsid w:val="001E2FCD"/>
    <w:rsid w:val="001E5E90"/>
    <w:rsid w:val="001F3CAA"/>
    <w:rsid w:val="001F4D18"/>
    <w:rsid w:val="001F721B"/>
    <w:rsid w:val="0020475D"/>
    <w:rsid w:val="00204E18"/>
    <w:rsid w:val="00206499"/>
    <w:rsid w:val="002072B1"/>
    <w:rsid w:val="002114C8"/>
    <w:rsid w:val="002135F8"/>
    <w:rsid w:val="0021401C"/>
    <w:rsid w:val="00214F4A"/>
    <w:rsid w:val="00216538"/>
    <w:rsid w:val="0021766A"/>
    <w:rsid w:val="00222711"/>
    <w:rsid w:val="00224AB1"/>
    <w:rsid w:val="00225EF9"/>
    <w:rsid w:val="002278D9"/>
    <w:rsid w:val="00232537"/>
    <w:rsid w:val="00233B92"/>
    <w:rsid w:val="002343E0"/>
    <w:rsid w:val="0023630B"/>
    <w:rsid w:val="0023769B"/>
    <w:rsid w:val="00242534"/>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1FD"/>
    <w:rsid w:val="00286F17"/>
    <w:rsid w:val="002904FB"/>
    <w:rsid w:val="00290F2C"/>
    <w:rsid w:val="00291A2C"/>
    <w:rsid w:val="00293099"/>
    <w:rsid w:val="002945AC"/>
    <w:rsid w:val="00295394"/>
    <w:rsid w:val="002A0F27"/>
    <w:rsid w:val="002A0F58"/>
    <w:rsid w:val="002A2B5B"/>
    <w:rsid w:val="002B0C95"/>
    <w:rsid w:val="002B1167"/>
    <w:rsid w:val="002B2B29"/>
    <w:rsid w:val="002B3B5D"/>
    <w:rsid w:val="002B50B0"/>
    <w:rsid w:val="002B7307"/>
    <w:rsid w:val="002C530A"/>
    <w:rsid w:val="002C5B39"/>
    <w:rsid w:val="002C5E36"/>
    <w:rsid w:val="002C5E60"/>
    <w:rsid w:val="002D0ED2"/>
    <w:rsid w:val="002D2103"/>
    <w:rsid w:val="002D23B3"/>
    <w:rsid w:val="002D39F4"/>
    <w:rsid w:val="002D3B4D"/>
    <w:rsid w:val="002D412F"/>
    <w:rsid w:val="002E039B"/>
    <w:rsid w:val="002E196F"/>
    <w:rsid w:val="002E2221"/>
    <w:rsid w:val="002E3D9F"/>
    <w:rsid w:val="002E413C"/>
    <w:rsid w:val="002E6D45"/>
    <w:rsid w:val="002F0257"/>
    <w:rsid w:val="002F2174"/>
    <w:rsid w:val="002F2E74"/>
    <w:rsid w:val="002F5487"/>
    <w:rsid w:val="002F6622"/>
    <w:rsid w:val="0030107F"/>
    <w:rsid w:val="0030772A"/>
    <w:rsid w:val="00311C83"/>
    <w:rsid w:val="00312806"/>
    <w:rsid w:val="00314CEC"/>
    <w:rsid w:val="00316390"/>
    <w:rsid w:val="00316F36"/>
    <w:rsid w:val="00317E99"/>
    <w:rsid w:val="003212E9"/>
    <w:rsid w:val="00321A2A"/>
    <w:rsid w:val="003245E2"/>
    <w:rsid w:val="00324783"/>
    <w:rsid w:val="00326702"/>
    <w:rsid w:val="00327F97"/>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797B"/>
    <w:rsid w:val="00377D46"/>
    <w:rsid w:val="00381C8F"/>
    <w:rsid w:val="00383DCB"/>
    <w:rsid w:val="00386496"/>
    <w:rsid w:val="00390B6E"/>
    <w:rsid w:val="00392890"/>
    <w:rsid w:val="0039395D"/>
    <w:rsid w:val="00393FC5"/>
    <w:rsid w:val="003951E8"/>
    <w:rsid w:val="00395682"/>
    <w:rsid w:val="00395A24"/>
    <w:rsid w:val="0039799E"/>
    <w:rsid w:val="003A1A59"/>
    <w:rsid w:val="003A1C72"/>
    <w:rsid w:val="003A5979"/>
    <w:rsid w:val="003A6557"/>
    <w:rsid w:val="003A65BC"/>
    <w:rsid w:val="003B10FB"/>
    <w:rsid w:val="003B13A1"/>
    <w:rsid w:val="003B2ECD"/>
    <w:rsid w:val="003B4D17"/>
    <w:rsid w:val="003B67D1"/>
    <w:rsid w:val="003C2E3F"/>
    <w:rsid w:val="003C48FC"/>
    <w:rsid w:val="003C5D43"/>
    <w:rsid w:val="003C7738"/>
    <w:rsid w:val="003D1418"/>
    <w:rsid w:val="003D52B7"/>
    <w:rsid w:val="003D5E1B"/>
    <w:rsid w:val="003E01A5"/>
    <w:rsid w:val="003E0A48"/>
    <w:rsid w:val="003E39B8"/>
    <w:rsid w:val="003E4725"/>
    <w:rsid w:val="003F2A33"/>
    <w:rsid w:val="003F776B"/>
    <w:rsid w:val="00401378"/>
    <w:rsid w:val="00403B07"/>
    <w:rsid w:val="00413542"/>
    <w:rsid w:val="0041367F"/>
    <w:rsid w:val="00413EFB"/>
    <w:rsid w:val="00424F10"/>
    <w:rsid w:val="004338FE"/>
    <w:rsid w:val="004409B0"/>
    <w:rsid w:val="0044342D"/>
    <w:rsid w:val="00443730"/>
    <w:rsid w:val="0044397B"/>
    <w:rsid w:val="00446208"/>
    <w:rsid w:val="00447622"/>
    <w:rsid w:val="00450A9D"/>
    <w:rsid w:val="00450B93"/>
    <w:rsid w:val="00451C77"/>
    <w:rsid w:val="0045453C"/>
    <w:rsid w:val="00456875"/>
    <w:rsid w:val="0045749A"/>
    <w:rsid w:val="0045772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A5FA9"/>
    <w:rsid w:val="004B0399"/>
    <w:rsid w:val="004B0EBC"/>
    <w:rsid w:val="004B2652"/>
    <w:rsid w:val="004B27A2"/>
    <w:rsid w:val="004B455E"/>
    <w:rsid w:val="004B7883"/>
    <w:rsid w:val="004C1C05"/>
    <w:rsid w:val="004C2F1E"/>
    <w:rsid w:val="004C2FD9"/>
    <w:rsid w:val="004C4A22"/>
    <w:rsid w:val="004C5C62"/>
    <w:rsid w:val="004C5DF3"/>
    <w:rsid w:val="004C6623"/>
    <w:rsid w:val="004D01FD"/>
    <w:rsid w:val="004D036F"/>
    <w:rsid w:val="004D10F2"/>
    <w:rsid w:val="004D19F9"/>
    <w:rsid w:val="004D2A28"/>
    <w:rsid w:val="004D50E0"/>
    <w:rsid w:val="004E2400"/>
    <w:rsid w:val="004E4CC2"/>
    <w:rsid w:val="004F0BC1"/>
    <w:rsid w:val="004F1247"/>
    <w:rsid w:val="004F3229"/>
    <w:rsid w:val="004F70AE"/>
    <w:rsid w:val="005008C8"/>
    <w:rsid w:val="00502C48"/>
    <w:rsid w:val="005058EB"/>
    <w:rsid w:val="005107B3"/>
    <w:rsid w:val="0051209B"/>
    <w:rsid w:val="00514D49"/>
    <w:rsid w:val="00517060"/>
    <w:rsid w:val="00517CA9"/>
    <w:rsid w:val="00522B94"/>
    <w:rsid w:val="00525343"/>
    <w:rsid w:val="00527959"/>
    <w:rsid w:val="00527F9C"/>
    <w:rsid w:val="00532AD4"/>
    <w:rsid w:val="00532BBD"/>
    <w:rsid w:val="0053472A"/>
    <w:rsid w:val="00534FFD"/>
    <w:rsid w:val="00535C1C"/>
    <w:rsid w:val="00540D33"/>
    <w:rsid w:val="0054129B"/>
    <w:rsid w:val="00541831"/>
    <w:rsid w:val="0054369F"/>
    <w:rsid w:val="00544D06"/>
    <w:rsid w:val="00553D1E"/>
    <w:rsid w:val="00554FB2"/>
    <w:rsid w:val="005615FD"/>
    <w:rsid w:val="00561C4B"/>
    <w:rsid w:val="00564806"/>
    <w:rsid w:val="00564B46"/>
    <w:rsid w:val="005650AE"/>
    <w:rsid w:val="005651B0"/>
    <w:rsid w:val="00566EF1"/>
    <w:rsid w:val="005676B9"/>
    <w:rsid w:val="00570A32"/>
    <w:rsid w:val="0057276F"/>
    <w:rsid w:val="00574951"/>
    <w:rsid w:val="00576316"/>
    <w:rsid w:val="00576F2D"/>
    <w:rsid w:val="00581ECA"/>
    <w:rsid w:val="00582C5C"/>
    <w:rsid w:val="005832F4"/>
    <w:rsid w:val="00584C77"/>
    <w:rsid w:val="0059185A"/>
    <w:rsid w:val="00591A77"/>
    <w:rsid w:val="00594A92"/>
    <w:rsid w:val="00594CA6"/>
    <w:rsid w:val="00597510"/>
    <w:rsid w:val="00597CEB"/>
    <w:rsid w:val="00597D6B"/>
    <w:rsid w:val="005A2D7E"/>
    <w:rsid w:val="005A72A0"/>
    <w:rsid w:val="005A7888"/>
    <w:rsid w:val="005A7B6D"/>
    <w:rsid w:val="005B0701"/>
    <w:rsid w:val="005B18E5"/>
    <w:rsid w:val="005B23CE"/>
    <w:rsid w:val="005B4109"/>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60170A"/>
    <w:rsid w:val="0060260D"/>
    <w:rsid w:val="0060280B"/>
    <w:rsid w:val="00602E44"/>
    <w:rsid w:val="00603476"/>
    <w:rsid w:val="00604D7D"/>
    <w:rsid w:val="00605760"/>
    <w:rsid w:val="0060579C"/>
    <w:rsid w:val="00606173"/>
    <w:rsid w:val="006101D6"/>
    <w:rsid w:val="0061093E"/>
    <w:rsid w:val="006114F2"/>
    <w:rsid w:val="006114F8"/>
    <w:rsid w:val="0061215A"/>
    <w:rsid w:val="006146A6"/>
    <w:rsid w:val="00614714"/>
    <w:rsid w:val="00615426"/>
    <w:rsid w:val="006168F0"/>
    <w:rsid w:val="00616B31"/>
    <w:rsid w:val="006208CE"/>
    <w:rsid w:val="00623B09"/>
    <w:rsid w:val="00625833"/>
    <w:rsid w:val="00625C1B"/>
    <w:rsid w:val="00627643"/>
    <w:rsid w:val="0063028F"/>
    <w:rsid w:val="0063076D"/>
    <w:rsid w:val="00630B02"/>
    <w:rsid w:val="00631578"/>
    <w:rsid w:val="00631B3C"/>
    <w:rsid w:val="00632E79"/>
    <w:rsid w:val="00633603"/>
    <w:rsid w:val="006406FE"/>
    <w:rsid w:val="006415BE"/>
    <w:rsid w:val="00653070"/>
    <w:rsid w:val="006611BB"/>
    <w:rsid w:val="006647C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4F2E"/>
    <w:rsid w:val="006E6463"/>
    <w:rsid w:val="006F11FA"/>
    <w:rsid w:val="006F269F"/>
    <w:rsid w:val="006F4F97"/>
    <w:rsid w:val="006F510F"/>
    <w:rsid w:val="006F581E"/>
    <w:rsid w:val="007000E4"/>
    <w:rsid w:val="007025DE"/>
    <w:rsid w:val="00705753"/>
    <w:rsid w:val="00706390"/>
    <w:rsid w:val="0070710A"/>
    <w:rsid w:val="00711BFC"/>
    <w:rsid w:val="00712B41"/>
    <w:rsid w:val="00714D76"/>
    <w:rsid w:val="0071556F"/>
    <w:rsid w:val="00715616"/>
    <w:rsid w:val="00717DCC"/>
    <w:rsid w:val="00721F75"/>
    <w:rsid w:val="00723DD7"/>
    <w:rsid w:val="00725011"/>
    <w:rsid w:val="00730ED5"/>
    <w:rsid w:val="00731AD7"/>
    <w:rsid w:val="0073510A"/>
    <w:rsid w:val="007367A8"/>
    <w:rsid w:val="00743716"/>
    <w:rsid w:val="007446E9"/>
    <w:rsid w:val="00750EB4"/>
    <w:rsid w:val="0076054A"/>
    <w:rsid w:val="00761047"/>
    <w:rsid w:val="0076127E"/>
    <w:rsid w:val="00761AC6"/>
    <w:rsid w:val="007632EE"/>
    <w:rsid w:val="00765830"/>
    <w:rsid w:val="00765C85"/>
    <w:rsid w:val="00766278"/>
    <w:rsid w:val="00766E20"/>
    <w:rsid w:val="00770E8C"/>
    <w:rsid w:val="00771256"/>
    <w:rsid w:val="0077263A"/>
    <w:rsid w:val="00774294"/>
    <w:rsid w:val="00774F46"/>
    <w:rsid w:val="00777721"/>
    <w:rsid w:val="00784B01"/>
    <w:rsid w:val="00785133"/>
    <w:rsid w:val="00786040"/>
    <w:rsid w:val="0079014D"/>
    <w:rsid w:val="007926FF"/>
    <w:rsid w:val="00796918"/>
    <w:rsid w:val="00796C29"/>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40F8"/>
    <w:rsid w:val="007D4F4E"/>
    <w:rsid w:val="007E14BC"/>
    <w:rsid w:val="007E1848"/>
    <w:rsid w:val="007E73FE"/>
    <w:rsid w:val="007E7474"/>
    <w:rsid w:val="007F0F14"/>
    <w:rsid w:val="007F165B"/>
    <w:rsid w:val="007F26B1"/>
    <w:rsid w:val="007F394C"/>
    <w:rsid w:val="007F5F2B"/>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525C"/>
    <w:rsid w:val="00840B70"/>
    <w:rsid w:val="008450A7"/>
    <w:rsid w:val="00846932"/>
    <w:rsid w:val="00850795"/>
    <w:rsid w:val="00851892"/>
    <w:rsid w:val="0085755F"/>
    <w:rsid w:val="00863046"/>
    <w:rsid w:val="00863A31"/>
    <w:rsid w:val="0086707A"/>
    <w:rsid w:val="008676C2"/>
    <w:rsid w:val="0087383A"/>
    <w:rsid w:val="00873C19"/>
    <w:rsid w:val="00874BC7"/>
    <w:rsid w:val="0087625B"/>
    <w:rsid w:val="0088032D"/>
    <w:rsid w:val="00880A4F"/>
    <w:rsid w:val="00884C24"/>
    <w:rsid w:val="00884D84"/>
    <w:rsid w:val="00885923"/>
    <w:rsid w:val="00886328"/>
    <w:rsid w:val="00887E28"/>
    <w:rsid w:val="008937D3"/>
    <w:rsid w:val="00894809"/>
    <w:rsid w:val="008A16B5"/>
    <w:rsid w:val="008A23FC"/>
    <w:rsid w:val="008A29CF"/>
    <w:rsid w:val="008A383C"/>
    <w:rsid w:val="008A4E09"/>
    <w:rsid w:val="008A6107"/>
    <w:rsid w:val="008B24AE"/>
    <w:rsid w:val="008C0879"/>
    <w:rsid w:val="008C0B79"/>
    <w:rsid w:val="008C61C6"/>
    <w:rsid w:val="008D01E8"/>
    <w:rsid w:val="008D2192"/>
    <w:rsid w:val="008D34C9"/>
    <w:rsid w:val="008D3BAD"/>
    <w:rsid w:val="008D4131"/>
    <w:rsid w:val="008D6398"/>
    <w:rsid w:val="008D6DE3"/>
    <w:rsid w:val="008E3181"/>
    <w:rsid w:val="008E332D"/>
    <w:rsid w:val="008E52D2"/>
    <w:rsid w:val="008F0049"/>
    <w:rsid w:val="0090254B"/>
    <w:rsid w:val="00904CB8"/>
    <w:rsid w:val="009057B9"/>
    <w:rsid w:val="0090786B"/>
    <w:rsid w:val="00907B2C"/>
    <w:rsid w:val="009110B3"/>
    <w:rsid w:val="00911B4D"/>
    <w:rsid w:val="009121F4"/>
    <w:rsid w:val="00913700"/>
    <w:rsid w:val="00914D04"/>
    <w:rsid w:val="00915AFC"/>
    <w:rsid w:val="00915BD1"/>
    <w:rsid w:val="00917483"/>
    <w:rsid w:val="00922C0E"/>
    <w:rsid w:val="00923988"/>
    <w:rsid w:val="00923DBF"/>
    <w:rsid w:val="00925A03"/>
    <w:rsid w:val="00925BCB"/>
    <w:rsid w:val="009260DC"/>
    <w:rsid w:val="00927E13"/>
    <w:rsid w:val="009341A7"/>
    <w:rsid w:val="009358C1"/>
    <w:rsid w:val="00936227"/>
    <w:rsid w:val="00937929"/>
    <w:rsid w:val="00940731"/>
    <w:rsid w:val="009469D4"/>
    <w:rsid w:val="00950542"/>
    <w:rsid w:val="00950CEC"/>
    <w:rsid w:val="00955FF0"/>
    <w:rsid w:val="0095753D"/>
    <w:rsid w:val="00961D29"/>
    <w:rsid w:val="009628F4"/>
    <w:rsid w:val="0096362E"/>
    <w:rsid w:val="0096573B"/>
    <w:rsid w:val="00965DB6"/>
    <w:rsid w:val="00971D3B"/>
    <w:rsid w:val="009721A2"/>
    <w:rsid w:val="0097255B"/>
    <w:rsid w:val="00975731"/>
    <w:rsid w:val="00977118"/>
    <w:rsid w:val="009809D7"/>
    <w:rsid w:val="00980C1F"/>
    <w:rsid w:val="00981894"/>
    <w:rsid w:val="00984C70"/>
    <w:rsid w:val="00984E15"/>
    <w:rsid w:val="00985EDB"/>
    <w:rsid w:val="009869EE"/>
    <w:rsid w:val="009913D5"/>
    <w:rsid w:val="009920F4"/>
    <w:rsid w:val="009922DB"/>
    <w:rsid w:val="00992895"/>
    <w:rsid w:val="00995A6C"/>
    <w:rsid w:val="009979D0"/>
    <w:rsid w:val="009A12E6"/>
    <w:rsid w:val="009A20CF"/>
    <w:rsid w:val="009A2F72"/>
    <w:rsid w:val="009A36BF"/>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D03C8"/>
    <w:rsid w:val="009D10A9"/>
    <w:rsid w:val="009D1CD6"/>
    <w:rsid w:val="009D23C0"/>
    <w:rsid w:val="009D28FD"/>
    <w:rsid w:val="009D389A"/>
    <w:rsid w:val="009D4682"/>
    <w:rsid w:val="009D5E91"/>
    <w:rsid w:val="009D707C"/>
    <w:rsid w:val="009E4528"/>
    <w:rsid w:val="009F33DC"/>
    <w:rsid w:val="009F3F45"/>
    <w:rsid w:val="009F440D"/>
    <w:rsid w:val="009F448F"/>
    <w:rsid w:val="009F62A2"/>
    <w:rsid w:val="009F7387"/>
    <w:rsid w:val="00A01687"/>
    <w:rsid w:val="00A0261B"/>
    <w:rsid w:val="00A10822"/>
    <w:rsid w:val="00A122D2"/>
    <w:rsid w:val="00A143A2"/>
    <w:rsid w:val="00A14BB4"/>
    <w:rsid w:val="00A161F7"/>
    <w:rsid w:val="00A2040A"/>
    <w:rsid w:val="00A214C7"/>
    <w:rsid w:val="00A24E38"/>
    <w:rsid w:val="00A25BFD"/>
    <w:rsid w:val="00A2799E"/>
    <w:rsid w:val="00A311E9"/>
    <w:rsid w:val="00A340A8"/>
    <w:rsid w:val="00A35987"/>
    <w:rsid w:val="00A366BD"/>
    <w:rsid w:val="00A37013"/>
    <w:rsid w:val="00A403D5"/>
    <w:rsid w:val="00A415BC"/>
    <w:rsid w:val="00A4336D"/>
    <w:rsid w:val="00A433A4"/>
    <w:rsid w:val="00A44A7A"/>
    <w:rsid w:val="00A51D79"/>
    <w:rsid w:val="00A52204"/>
    <w:rsid w:val="00A53DD0"/>
    <w:rsid w:val="00A54909"/>
    <w:rsid w:val="00A55241"/>
    <w:rsid w:val="00A6018F"/>
    <w:rsid w:val="00A616E3"/>
    <w:rsid w:val="00A637C2"/>
    <w:rsid w:val="00A63985"/>
    <w:rsid w:val="00A65893"/>
    <w:rsid w:val="00A67508"/>
    <w:rsid w:val="00A74952"/>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B1F"/>
    <w:rsid w:val="00AB381A"/>
    <w:rsid w:val="00AB4A0F"/>
    <w:rsid w:val="00AB4BD5"/>
    <w:rsid w:val="00AB5354"/>
    <w:rsid w:val="00AB573B"/>
    <w:rsid w:val="00AB61FB"/>
    <w:rsid w:val="00AC530C"/>
    <w:rsid w:val="00AC55A9"/>
    <w:rsid w:val="00AC7652"/>
    <w:rsid w:val="00AD177C"/>
    <w:rsid w:val="00AD40AF"/>
    <w:rsid w:val="00AE075A"/>
    <w:rsid w:val="00AE2CB0"/>
    <w:rsid w:val="00AE2D6B"/>
    <w:rsid w:val="00AF4238"/>
    <w:rsid w:val="00AF44E3"/>
    <w:rsid w:val="00AF4E17"/>
    <w:rsid w:val="00AF5651"/>
    <w:rsid w:val="00AF791B"/>
    <w:rsid w:val="00B02996"/>
    <w:rsid w:val="00B04065"/>
    <w:rsid w:val="00B151DB"/>
    <w:rsid w:val="00B15A75"/>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2611"/>
    <w:rsid w:val="00B93AEB"/>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C0D33"/>
    <w:rsid w:val="00BC2142"/>
    <w:rsid w:val="00BC248C"/>
    <w:rsid w:val="00BC6E73"/>
    <w:rsid w:val="00BC6FBA"/>
    <w:rsid w:val="00BD2335"/>
    <w:rsid w:val="00BD3E19"/>
    <w:rsid w:val="00BD47D4"/>
    <w:rsid w:val="00BD4FD2"/>
    <w:rsid w:val="00BD5238"/>
    <w:rsid w:val="00BD661E"/>
    <w:rsid w:val="00BF08D9"/>
    <w:rsid w:val="00BF0A9E"/>
    <w:rsid w:val="00BF21AD"/>
    <w:rsid w:val="00BF2F87"/>
    <w:rsid w:val="00BF3956"/>
    <w:rsid w:val="00BF699A"/>
    <w:rsid w:val="00BF6C04"/>
    <w:rsid w:val="00BF6FF7"/>
    <w:rsid w:val="00BF7A66"/>
    <w:rsid w:val="00C010AB"/>
    <w:rsid w:val="00C02C1D"/>
    <w:rsid w:val="00C03FA1"/>
    <w:rsid w:val="00C05D4B"/>
    <w:rsid w:val="00C06434"/>
    <w:rsid w:val="00C13C87"/>
    <w:rsid w:val="00C14153"/>
    <w:rsid w:val="00C155A0"/>
    <w:rsid w:val="00C20356"/>
    <w:rsid w:val="00C20397"/>
    <w:rsid w:val="00C241D7"/>
    <w:rsid w:val="00C24C66"/>
    <w:rsid w:val="00C25C3E"/>
    <w:rsid w:val="00C31534"/>
    <w:rsid w:val="00C32E3A"/>
    <w:rsid w:val="00C337D1"/>
    <w:rsid w:val="00C363A2"/>
    <w:rsid w:val="00C415EE"/>
    <w:rsid w:val="00C43920"/>
    <w:rsid w:val="00C43A38"/>
    <w:rsid w:val="00C44475"/>
    <w:rsid w:val="00C455D7"/>
    <w:rsid w:val="00C455E8"/>
    <w:rsid w:val="00C46D53"/>
    <w:rsid w:val="00C47C32"/>
    <w:rsid w:val="00C514F8"/>
    <w:rsid w:val="00C52746"/>
    <w:rsid w:val="00C52D67"/>
    <w:rsid w:val="00C54B46"/>
    <w:rsid w:val="00C55E50"/>
    <w:rsid w:val="00C644AA"/>
    <w:rsid w:val="00C661AF"/>
    <w:rsid w:val="00C667ED"/>
    <w:rsid w:val="00C71182"/>
    <w:rsid w:val="00C7260D"/>
    <w:rsid w:val="00C727B5"/>
    <w:rsid w:val="00C7487B"/>
    <w:rsid w:val="00C758D5"/>
    <w:rsid w:val="00C775F8"/>
    <w:rsid w:val="00C815E2"/>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B7F4C"/>
    <w:rsid w:val="00CC03B8"/>
    <w:rsid w:val="00CC1D6B"/>
    <w:rsid w:val="00CC3B73"/>
    <w:rsid w:val="00CC508E"/>
    <w:rsid w:val="00CD1E80"/>
    <w:rsid w:val="00CD49B0"/>
    <w:rsid w:val="00CE1C3E"/>
    <w:rsid w:val="00CE2EFD"/>
    <w:rsid w:val="00CE5182"/>
    <w:rsid w:val="00CF57FB"/>
    <w:rsid w:val="00D0376F"/>
    <w:rsid w:val="00D06B7D"/>
    <w:rsid w:val="00D12A10"/>
    <w:rsid w:val="00D13BF8"/>
    <w:rsid w:val="00D149CC"/>
    <w:rsid w:val="00D204B4"/>
    <w:rsid w:val="00D20B1C"/>
    <w:rsid w:val="00D33A67"/>
    <w:rsid w:val="00D35E2D"/>
    <w:rsid w:val="00D47357"/>
    <w:rsid w:val="00D47834"/>
    <w:rsid w:val="00D51DE0"/>
    <w:rsid w:val="00D56522"/>
    <w:rsid w:val="00D60A4B"/>
    <w:rsid w:val="00D6342D"/>
    <w:rsid w:val="00D676A4"/>
    <w:rsid w:val="00D71EE1"/>
    <w:rsid w:val="00D72CA2"/>
    <w:rsid w:val="00D72FF0"/>
    <w:rsid w:val="00D77009"/>
    <w:rsid w:val="00D77CBE"/>
    <w:rsid w:val="00D80F00"/>
    <w:rsid w:val="00D90832"/>
    <w:rsid w:val="00D90D6C"/>
    <w:rsid w:val="00D96633"/>
    <w:rsid w:val="00DA2717"/>
    <w:rsid w:val="00DA322E"/>
    <w:rsid w:val="00DA7FD8"/>
    <w:rsid w:val="00DB2BFE"/>
    <w:rsid w:val="00DB3F2D"/>
    <w:rsid w:val="00DB4820"/>
    <w:rsid w:val="00DB4F78"/>
    <w:rsid w:val="00DC164C"/>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7142"/>
    <w:rsid w:val="00E112A1"/>
    <w:rsid w:val="00E11CE3"/>
    <w:rsid w:val="00E14521"/>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2377"/>
    <w:rsid w:val="00E446AD"/>
    <w:rsid w:val="00E469DB"/>
    <w:rsid w:val="00E47A1B"/>
    <w:rsid w:val="00E50B0B"/>
    <w:rsid w:val="00E51CF2"/>
    <w:rsid w:val="00E541F7"/>
    <w:rsid w:val="00E57ED3"/>
    <w:rsid w:val="00E57FD8"/>
    <w:rsid w:val="00E6326D"/>
    <w:rsid w:val="00E64685"/>
    <w:rsid w:val="00E66344"/>
    <w:rsid w:val="00E66C9F"/>
    <w:rsid w:val="00E73F97"/>
    <w:rsid w:val="00E80EC1"/>
    <w:rsid w:val="00E8109A"/>
    <w:rsid w:val="00E8134F"/>
    <w:rsid w:val="00E83855"/>
    <w:rsid w:val="00E83CC8"/>
    <w:rsid w:val="00E86415"/>
    <w:rsid w:val="00E878FA"/>
    <w:rsid w:val="00E9036C"/>
    <w:rsid w:val="00E934E4"/>
    <w:rsid w:val="00E94FB7"/>
    <w:rsid w:val="00E95DA9"/>
    <w:rsid w:val="00E97729"/>
    <w:rsid w:val="00EA1C48"/>
    <w:rsid w:val="00EB3ADA"/>
    <w:rsid w:val="00EB7678"/>
    <w:rsid w:val="00EC29F3"/>
    <w:rsid w:val="00EC2D3B"/>
    <w:rsid w:val="00EC5B9A"/>
    <w:rsid w:val="00EC607F"/>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361"/>
    <w:rsid w:val="00F12D9D"/>
    <w:rsid w:val="00F1663D"/>
    <w:rsid w:val="00F17110"/>
    <w:rsid w:val="00F201FA"/>
    <w:rsid w:val="00F21CA6"/>
    <w:rsid w:val="00F24BCB"/>
    <w:rsid w:val="00F24C54"/>
    <w:rsid w:val="00F258FF"/>
    <w:rsid w:val="00F260CA"/>
    <w:rsid w:val="00F27DFE"/>
    <w:rsid w:val="00F36BDA"/>
    <w:rsid w:val="00F376C9"/>
    <w:rsid w:val="00F4128F"/>
    <w:rsid w:val="00F4388B"/>
    <w:rsid w:val="00F4499B"/>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1EEE"/>
    <w:rsid w:val="00F7629A"/>
    <w:rsid w:val="00F80ECC"/>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1406"/>
    <w:rsid w:val="00FB50EF"/>
    <w:rsid w:val="00FB601F"/>
    <w:rsid w:val="00FB6FED"/>
    <w:rsid w:val="00FB7A68"/>
    <w:rsid w:val="00FC07E5"/>
    <w:rsid w:val="00FC269F"/>
    <w:rsid w:val="00FC3D87"/>
    <w:rsid w:val="00FD1706"/>
    <w:rsid w:val="00FD36B8"/>
    <w:rsid w:val="00FD768A"/>
    <w:rsid w:val="00FD7A60"/>
    <w:rsid w:val="00FE0011"/>
    <w:rsid w:val="00FE099C"/>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ta440" TargetMode="External"/><Relationship Id="rId17" Type="http://schemas.openxmlformats.org/officeDocument/2006/relationships/hyperlink" Target="https://www.nice.org.uk/guidance/cg61" TargetMode="External"/><Relationship Id="rId2" Type="http://schemas.openxmlformats.org/officeDocument/2006/relationships/numbering" Target="numbering.xml"/><Relationship Id="rId16" Type="http://schemas.openxmlformats.org/officeDocument/2006/relationships/hyperlink" Target="https://www.nice.org.uk/guidance/cg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ng68" TargetMode="External"/><Relationship Id="rId5" Type="http://schemas.openxmlformats.org/officeDocument/2006/relationships/settings" Target="settings.xml"/><Relationship Id="rId15" Type="http://schemas.openxmlformats.org/officeDocument/2006/relationships/hyperlink" Target="https://www.nice.org.uk/guidance/ta443" TargetMode="External"/><Relationship Id="rId10" Type="http://schemas.openxmlformats.org/officeDocument/2006/relationships/hyperlink" Target="https://www.nice.org.uk/guidance/ipg57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839F-1EF8-42FE-B4F1-469E347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11</cp:revision>
  <cp:lastPrinted>2017-05-25T10:34:00Z</cp:lastPrinted>
  <dcterms:created xsi:type="dcterms:W3CDTF">2017-05-25T10:07:00Z</dcterms:created>
  <dcterms:modified xsi:type="dcterms:W3CDTF">2017-05-25T11:02:00Z</dcterms:modified>
</cp:coreProperties>
</file>